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5387"/>
        <w:spacing w:before="0"/>
        <w:widowControl w:val="o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2"/>
          <w:szCs w:val="22"/>
        </w:rPr>
        <w:t xml:space="preserve">             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«УТВЕРЖДАЮ»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left="5387"/>
        <w:spacing w:before="0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Председател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ь закупочной комиссии 1-го уровня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Заместитель Генерального директора по управлению ресурсами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АО «ДГК»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5103"/>
        <w:spacing w:before="0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5103" w:firstLine="284"/>
        <w:spacing w:before="0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Д.А.Богонатов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387"/>
        <w:spacing w:before="0" w:line="276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«__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_»_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 2026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387"/>
        <w:spacing w:before="0"/>
        <w:widowControl w:val="o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widowControl w:val="off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center"/>
        <w:spacing w:before="480" w:after="360"/>
        <w:rPr>
          <w:rFonts w:ascii="Times New Roman" w:hAnsi="Times New Roman" w:cs="Times New Roman"/>
          <w:b/>
          <w:sz w:val="24"/>
          <w:szCs w:val="24"/>
        </w:rPr>
        <w:outlineLvl w:val="4"/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Документация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о закупке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before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ЗАПРОС ПРЕДЛОЖЕНИЙ В ЭЛЕКТРОННОЙ ФОРМЕ, УЧАСТНИКАМИ КОТОРОГО МОГУТ БЫТЬ ТОЛЬКО СУБЪЕКТЫ МСП, НА ПРАВО ЗАКЛЮЧЕНИЯ ДОГОВОРА НА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«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ОКПД 2 43.21.10 Выполнение строительно-монтажных работ по объекту: модернизация электрических кабелей оборудования масло-мазутного хозяйства Комсомольской ТЭЦ-3 (9 км) в рамках реализации инвестиционного проекта N_505-КТЭЦ3-5, г. Комсомольск-на-Амуре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»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befor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spacing w:befor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Лот №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22130006-ТПИР ОБСЛ-2026-ДГК-КТЭЦ3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5387" w:firstLine="0"/>
        <w:keepLines/>
        <w:keepNext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-108" w:right="-108" w:firstLine="0"/>
        <w:jc w:val="center"/>
        <w:spacing w:before="60" w:after="60" w:line="240" w:lineRule="auto"/>
        <w:rPr>
          <w:rFonts w:ascii="Times New Roman" w:hAnsi="Times New Roman" w:cs="Times New Roman"/>
          <w:bCs/>
          <w:i/>
          <w:sz w:val="22"/>
          <w:szCs w:val="22"/>
          <w14:ligatures w14:val="none"/>
        </w:rPr>
      </w:pPr>
      <w:r>
        <w:rPr>
          <w:rFonts w:ascii="Times New Roman" w:hAnsi="Times New Roman" w:eastAsia="Times New Roman" w:cs="Times New Roman"/>
          <w:sz w:val="22"/>
          <w:szCs w:val="22"/>
          <w:lang w:eastAsia="en-US"/>
        </w:rPr>
      </w:r>
      <w:r>
        <w:rPr>
          <w:rFonts w:ascii="Times New Roman" w:hAnsi="Times New Roman" w:cs="Times New Roman"/>
          <w:bCs/>
          <w:i/>
          <w:sz w:val="22"/>
          <w:szCs w:val="22"/>
          <w14:ligatures w14:val="none"/>
        </w:rPr>
      </w:r>
      <w:r>
        <w:rPr>
          <w:rFonts w:ascii="Times New Roman" w:hAnsi="Times New Roman" w:cs="Times New Roman"/>
          <w:bCs/>
          <w:i/>
          <w:sz w:val="22"/>
          <w:szCs w:val="22"/>
          <w14:ligatures w14:val="none"/>
        </w:rPr>
      </w:r>
    </w:p>
    <w:p>
      <w:pPr>
        <w:jc w:val="center"/>
        <w:spacing w:before="0"/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  <w14:ligatures w14:val="none"/>
        </w:rPr>
      </w:r>
      <w:r>
        <w:rPr>
          <w:rFonts w:ascii="Times New Roman" w:hAnsi="Times New Roman" w:cs="Times New Roman"/>
          <w:sz w:val="22"/>
          <w:szCs w:val="22"/>
          <w14:ligatures w14:val="none"/>
        </w:rPr>
      </w:r>
    </w:p>
    <w:p>
      <w:pPr>
        <w:jc w:val="center"/>
        <w:spacing w:before="0"/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ascii="Times New Roman" w:hAnsi="Times New Roman" w:eastAsia="Times New Roman" w:cs="Times New Roman"/>
          <w:sz w:val="22"/>
          <w:szCs w:val="22"/>
          <w:lang w:eastAsia="en-US"/>
        </w:rPr>
      </w:r>
      <w:r>
        <w:rPr>
          <w:rFonts w:ascii="Times New Roman" w:hAnsi="Times New Roman" w:cs="Times New Roman"/>
          <w:sz w:val="22"/>
          <w:szCs w:val="22"/>
          <w14:ligatures w14:val="none"/>
        </w:rPr>
      </w:r>
      <w:r>
        <w:rPr>
          <w:rFonts w:ascii="Times New Roman" w:hAnsi="Times New Roman" w:cs="Times New Roman"/>
          <w:sz w:val="22"/>
          <w:szCs w:val="22"/>
          <w14:ligatures w14:val="none"/>
        </w:rPr>
      </w:r>
    </w:p>
    <w:p>
      <w:pPr>
        <w:pStyle w:val="1160"/>
        <w:jc w:val="center"/>
        <w:keepNext/>
        <w:spacing w:before="240"/>
        <w:rPr>
          <w:rStyle w:val="1165"/>
          <w:rFonts w:ascii="Times New Roman" w:hAnsi="Times New Roman" w:cs="Times New Roman"/>
          <w:sz w:val="22"/>
          <w:szCs w:val="22"/>
        </w:rPr>
      </w:pPr>
      <w:r>
        <w:rPr>
          <w:rStyle w:val="1165"/>
          <w:rFonts w:ascii="Times New Roman" w:hAnsi="Times New Roman" w:eastAsia="Times New Roman" w:cs="Times New Roman"/>
          <w:sz w:val="22"/>
          <w:szCs w:val="22"/>
        </w:rPr>
      </w:r>
      <w:r>
        <w:rPr>
          <w:rStyle w:val="1165"/>
          <w:rFonts w:ascii="Times New Roman" w:hAnsi="Times New Roman" w:cs="Times New Roman"/>
          <w:sz w:val="22"/>
          <w:szCs w:val="22"/>
        </w:rPr>
      </w:r>
      <w:r>
        <w:rPr>
          <w:rStyle w:val="1165"/>
          <w:rFonts w:ascii="Times New Roman" w:hAnsi="Times New Roman" w:cs="Times New Roman"/>
          <w:sz w:val="22"/>
          <w:szCs w:val="22"/>
        </w:rPr>
      </w:r>
    </w:p>
    <w:p>
      <w:pPr>
        <w:pStyle w:val="1159"/>
        <w:rPr>
          <w:rFonts w:ascii="Times New Roman" w:hAnsi="Times New Roman" w:cs="Times New Roman"/>
          <w:sz w:val="22"/>
          <w:szCs w:val="22"/>
        </w:rPr>
        <w:outlineLvl w:val="2"/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Содержание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3"/>
        <w:tabs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TOC \o "1-2" \h \z \u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hyperlink w:tooltip="#_Toc1" w:anchor="_Toc1" w:history="1">
        <w:r>
          <w:rPr>
            <w:rStyle w:val="1170"/>
            <w:rFonts w:ascii="Times New Roman" w:hAnsi="Times New Roman" w:eastAsia="Times New Roman" w:cs="Times New Roman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Сокращения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_Toc1 \h</w:instrText>
          <w:fldChar w:fldCharType="separate"/>
          <w:t xml:space="preserve">6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3"/>
        <w:tabs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2" w:anchor="_Toc2" w:history="1">
        <w:r>
          <w:rPr>
            <w:rStyle w:val="1170"/>
            <w:rFonts w:ascii="Times New Roman" w:hAnsi="Times New Roman" w:eastAsia="Times New Roman" w:cs="Times New Roman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Термины и определения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_Toc2 \h</w:instrText>
          <w:fldChar w:fldCharType="separate"/>
          <w:t xml:space="preserve">8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3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3" w:anchor="_Toc3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1.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Основные сведения о закупке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_Toc3 \h</w:instrText>
          <w:fldChar w:fldCharType="separate"/>
          <w:t xml:space="preserve">12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4" w:anchor="_Toc4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1.1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Статус настоящего раздела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_Toc4 \h</w:instrText>
          <w:fldChar w:fldCharType="separate"/>
          <w:t xml:space="preserve">12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5" w:anchor="_Toc5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1.2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Информация о проводимой закупке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_Toc5 \h</w:instrText>
          <w:fldChar w:fldCharType="separate"/>
          <w:t xml:space="preserve">12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3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6" w:anchor="_Toc6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2.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Общие положения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_Toc6 \h</w:instrText>
          <w:fldChar w:fldCharType="separate"/>
          <w:t xml:space="preserve">17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7" w:anchor="_Toc7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2.1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Общие сведения о закупке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_Toc7 \h</w:instrText>
          <w:fldChar w:fldCharType="separate"/>
          <w:t xml:space="preserve">17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8" w:anchor="_Toc8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2.2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Правовой статус документов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_Toc8 \h</w:instrText>
          <w:fldChar w:fldCharType="separate"/>
          <w:t xml:space="preserve">17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9" w:anchor="_Toc9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2.3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Обжалование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_Toc9 \h</w:instrText>
          <w:fldChar w:fldCharType="separate"/>
          <w:t xml:space="preserve">18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10" w:anchor="_Toc10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2.4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Особые положения при проведении закупки с использованием ЭП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_Toc10 \h</w:instrText>
          <w:fldChar w:fldCharType="separate"/>
          <w:t xml:space="preserve">19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11" w:anchor="_Toc11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2.5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Прочие положения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_Toc11 \h</w:instrText>
          <w:fldChar w:fldCharType="separate"/>
          <w:t xml:space="preserve">19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3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12" w:anchor="_Toc12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3.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Требования к 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У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частникам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_Toc12 \h</w:instrText>
          <w:fldChar w:fldCharType="separate"/>
          <w:t xml:space="preserve">20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13" w:anchor="_Toc13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3.1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Общие требования к Участникам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_Toc13 \h</w:instrText>
          <w:fldChar w:fldCharType="separate"/>
          <w:t xml:space="preserve">20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15" w:anchor="_Toc15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3.2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Генеральные подрядчики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_Toc15 \h</w:instrText>
          <w:fldChar w:fldCharType="separate"/>
          <w:t xml:space="preserve">22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3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16" w:anchor="_Toc16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4.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Порядок проведения закупки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_Toc16 \h</w:instrText>
          <w:fldChar w:fldCharType="separate"/>
          <w:t xml:space="preserve">24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17" w:anchor="_Toc17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4.1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Общий порядок проведения закупки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_Toc17 \h</w:instrText>
          <w:fldChar w:fldCharType="separate"/>
          <w:t xml:space="preserve">24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18" w:anchor="_Toc18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4.2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Официальное размещение Извещения и Документации о закупке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_Toc18 \h</w:instrText>
          <w:fldChar w:fldCharType="separate"/>
          <w:t xml:space="preserve">26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19" w:anchor="_Toc19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4.3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Подготовка заявки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_Toc19 \h</w:instrText>
          <w:fldChar w:fldCharType="separate"/>
          <w:t xml:space="preserve">26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20" w:anchor="_Toc20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4.4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Разъяснение Документации о закупке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_Toc20 \h</w:instrText>
          <w:fldChar w:fldCharType="separate"/>
          <w:t xml:space="preserve">29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21" w:anchor="_Toc21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4.5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Изменения 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Извещени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я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 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и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 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(или)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 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Документаци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и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 о закупке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_Toc21 \h</w:instrText>
          <w:fldChar w:fldCharType="separate"/>
          <w:t xml:space="preserve">29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22" w:anchor="_Toc22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4.6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Подача заявок и их прием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_Toc22 \h</w:instrText>
          <w:fldChar w:fldCharType="separate"/>
          <w:t xml:space="preserve">30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23" w:anchor="_Toc23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4.7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Изменение и отзыв заявок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_Toc23 \h</w:instrText>
          <w:fldChar w:fldCharType="separate"/>
          <w:t xml:space="preserve">31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24" w:anchor="_Toc24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4.8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Открытие доступа к первым частям заявок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_Toc24 \h</w:instrText>
          <w:fldChar w:fldCharType="separate"/>
          <w:t xml:space="preserve">31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25" w:anchor="_Toc25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4.9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Рассмотрение 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первых частей 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заявок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 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(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отборочная стадия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)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_Toc25 \h</w:instrText>
          <w:fldChar w:fldCharType="separate"/>
          <w:t xml:space="preserve">31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2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26" w:anchor="_Toc26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4.10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Открытие доступа ко вторым частям заявок и ценовым предложениям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_Toc26 \h</w:instrText>
          <w:fldChar w:fldCharType="separate"/>
          <w:t xml:space="preserve">33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2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27" w:anchor="_Toc27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4.11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Рассмотрение вторых частей заявок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 (отборочная стадия)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, в том числе (при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 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необходимости) проведение аккредитации,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 и ценовых предложений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_Toc27 \h</w:instrText>
          <w:fldChar w:fldCharType="separate"/>
          <w:t xml:space="preserve">33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2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28" w:anchor="_Toc28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4.12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Дополнительные запросы разъяснений заявок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_Toc28 \h</w:instrText>
          <w:fldChar w:fldCharType="separate"/>
          <w:t xml:space="preserve">35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2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29" w:anchor="_Toc29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4.13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Оценка и сопоставление заявок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_Toc29 \h</w:instrText>
          <w:fldChar w:fldCharType="separate"/>
          <w:t xml:space="preserve">36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2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30" w:anchor="_Toc30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4.14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Применение 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законодательства о национальном режиме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_Toc30 \h</w:instrText>
          <w:fldChar w:fldCharType="separate"/>
          <w:t xml:space="preserve">37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2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31" w:anchor="_Toc31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4.15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П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одведение итогов закупки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 (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о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пределение Победителя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)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_Toc31 \h</w:instrText>
          <w:fldChar w:fldCharType="separate"/>
          <w:t xml:space="preserve">37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2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32" w:anchor="_Toc32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4.16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Признание закупки несостоявшейся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_Toc32 \h</w:instrText>
          <w:fldChar w:fldCharType="separate"/>
          <w:t xml:space="preserve">39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2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33" w:anchor="_Toc33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4.17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Отказ от проведения закупки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 (отмена закупки)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_Toc33 \h</w:instrText>
          <w:fldChar w:fldCharType="separate"/>
          <w:t xml:space="preserve">40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2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34" w:anchor="_Toc34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4.18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Особенности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 проведения закупки с необходимостью обеспечения заявки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_Toc34 \h</w:instrText>
          <w:fldChar w:fldCharType="separate"/>
          <w:t xml:space="preserve">40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2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35" w:anchor="_Toc35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4.19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Особенности проведения м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ноголотов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ой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 закупк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и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_Toc35 \h</w:instrText>
          <w:fldChar w:fldCharType="separate"/>
          <w:t xml:space="preserve">43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3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36" w:anchor="_Toc36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5.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П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орядок заключения 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Д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оговора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_Toc36 \h</w:instrText>
          <w:fldChar w:fldCharType="separate"/>
          <w:t xml:space="preserve">45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37" w:anchor="_Toc37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5.1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Общие положения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_Toc37 \h</w:instrText>
          <w:fldChar w:fldCharType="separate"/>
          <w:t xml:space="preserve">45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38" w:anchor="_Toc38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5.2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Заключение Договора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_Toc38 \h</w:instrText>
          <w:fldChar w:fldCharType="separate"/>
          <w:t xml:space="preserve">45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39" w:anchor="_Toc39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5.3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Уклонение Победителя от заключения Договора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_Toc39 \h</w:instrText>
          <w:fldChar w:fldCharType="separate"/>
          <w:t xml:space="preserve">47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3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40" w:anchor="_Toc40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6.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Приложение № 1 – Технические требования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_Toc40 \h</w:instrText>
          <w:fldChar w:fldCharType="separate"/>
          <w:t xml:space="preserve">49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41" w:anchor="_Toc41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6.1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Пояснения к Техническим требованиям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_Toc41 \h</w:instrText>
          <w:fldChar w:fldCharType="separate"/>
          <w:t xml:space="preserve">49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3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42" w:anchor="_Toc42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7.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Приложение № 2 – Проект договора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_Toc42 \h</w:instrText>
          <w:fldChar w:fldCharType="separate"/>
          <w:t xml:space="preserve">50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43" w:anchor="_Toc43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7.1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Пояснения к 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П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роекту договора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_Toc43 \h</w:instrText>
          <w:fldChar w:fldCharType="separate"/>
          <w:t xml:space="preserve">50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3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44" w:anchor="_Toc44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8.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Приложение №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 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3 – Требования к 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У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частникам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_Toc44 \h</w:instrText>
          <w:fldChar w:fldCharType="separate"/>
          <w:t xml:space="preserve">51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45" w:anchor="_Toc45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8.1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Пояснения к 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требованиям к 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У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частникам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_Toc45 \h</w:instrText>
          <w:fldChar w:fldCharType="separate"/>
          <w:t xml:space="preserve">51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46" w:anchor="_Toc46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8.2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Обязательные требования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_Toc46 \h</w:instrText>
          <w:fldChar w:fldCharType="separate"/>
          <w:t xml:space="preserve">51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  <w:highlight w:val="yellow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47" w:anchor="_Toc47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8.3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  <w:highlight w:val="none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  <w:highlight w:val="none"/>
          </w:rPr>
          <w:t xml:space="preserve">Специальные требования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  <w:highlight w:val="none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_Toc47 \h</w:instrText>
          <w:fldChar w:fldCharType="separate"/>
          <w:t xml:space="preserve">54</w:t>
          <w:fldChar w:fldCharType="end"/>
        </w:r>
      </w:hyperlink>
      <w:r>
        <w:rPr>
          <w:rFonts w:ascii="Times New Roman" w:hAnsi="Times New Roman" w:cs="Times New Roman"/>
          <w:sz w:val="22"/>
          <w:szCs w:val="22"/>
          <w:highlight w:val="yellow"/>
        </w:rPr>
      </w:r>
      <w:r>
        <w:rPr>
          <w:rFonts w:ascii="Times New Roman" w:hAnsi="Times New Roman" w:cs="Times New Roman"/>
          <w:sz w:val="22"/>
          <w:szCs w:val="22"/>
          <w:highlight w:val="yellow"/>
        </w:rPr>
      </w:r>
    </w:p>
    <w:p>
      <w:pPr>
        <w:pStyle w:val="117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49" w:anchor="_Toc49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8.4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Дополнительные т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ребования к Генеральным подрядчикам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_Toc49 \h</w:instrText>
          <w:fldChar w:fldCharType="separate"/>
          <w:t xml:space="preserve">56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3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50" w:anchor="_Toc50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9.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Приложение № 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4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 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– 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Образцы форм документов, включаемых в состав заявки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_Toc50 \h</w:instrText>
          <w:fldChar w:fldCharType="separate"/>
          <w:t xml:space="preserve">57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2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51" w:anchor="_Toc51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9.1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Пояснения к Образца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м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 форм документов, включаемых в состав заявки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_Toc51 \h</w:instrText>
          <w:fldChar w:fldCharType="separate"/>
          <w:t xml:space="preserve">57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3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52" w:anchor="_Toc52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10.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Приложение № 5 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– 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Образцы форм документов, предоставляемых Победителем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_Toc52 \h</w:instrText>
          <w:fldChar w:fldCharType="separate"/>
          <w:t xml:space="preserve">58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2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53" w:anchor="_Toc53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10.1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Пояснения к Образцам форм документов, предоставляемых Победителем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_Toc53 \h</w:instrText>
          <w:fldChar w:fldCharType="separate"/>
          <w:t xml:space="preserve">58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2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54" w:anchor="_Toc54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10.2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Форма справки «Сведения о цепочке собственников, включая бенефициаров (в том числе конечных)»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_Toc54 \h</w:instrText>
          <w:fldChar w:fldCharType="separate"/>
          <w:t xml:space="preserve">58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2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55" w:anchor="_Toc55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10.3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Форма «Заверение об обстоятельствах»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_Toc55 \h</w:instrText>
          <w:fldChar w:fldCharType="separate"/>
          <w:t xml:space="preserve">58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3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56" w:anchor="_Toc56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11.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Приложение №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 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6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 – Состав заявки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_Toc56 \h</w:instrText>
          <w:fldChar w:fldCharType="separate"/>
          <w:t xml:space="preserve">60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2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57" w:anchor="_Toc57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11.1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Состав заявки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_Toc57 \h</w:instrText>
          <w:fldChar w:fldCharType="separate"/>
          <w:t xml:space="preserve">60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3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58" w:anchor="_Toc58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12.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Приложение №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 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7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 – Отборочные критерии рассмотрения заявок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_Toc58 \h</w:instrText>
          <w:fldChar w:fldCharType="separate"/>
          <w:t xml:space="preserve">63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2"/>
        <w:tabs>
          <w:tab w:val="left" w:pos="850" w:leader="none"/>
          <w:tab w:val="right" w:pos="9923" w:leader="none"/>
        </w:tabs>
        <w:rPr>
          <w:rStyle w:val="1165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59" w:anchor="_Toc59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12.1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i w:val="0"/>
            <w:iCs w:val="0"/>
            <w:sz w:val="22"/>
            <w:szCs w:val="22"/>
            <w:shd w:val="clear" w:color="auto" w:fill="auto"/>
          </w:rPr>
          <w:t xml:space="preserve">Отборочные критерии рассмотрения </w:t>
        </w:r>
        <w:r>
          <w:rPr>
            <w:rStyle w:val="1170"/>
            <w:rFonts w:ascii="Times New Roman" w:hAnsi="Times New Roman" w:eastAsia="Times New Roman" w:cs="Times New Roman"/>
            <w:i w:val="0"/>
            <w:iCs w:val="0"/>
            <w:sz w:val="22"/>
            <w:szCs w:val="22"/>
            <w:shd w:val="clear" w:color="auto" w:fill="auto"/>
          </w:rPr>
          <w:t xml:space="preserve">первых частей </w:t>
        </w:r>
        <w:r>
          <w:rPr>
            <w:rStyle w:val="1170"/>
            <w:rFonts w:ascii="Times New Roman" w:hAnsi="Times New Roman" w:eastAsia="Times New Roman" w:cs="Times New Roman"/>
            <w:i w:val="0"/>
            <w:iCs w:val="0"/>
            <w:sz w:val="22"/>
            <w:szCs w:val="22"/>
            <w:shd w:val="clear" w:color="auto" w:fill="auto"/>
          </w:rPr>
          <w:t xml:space="preserve">заявок</w:t>
        </w:r>
        <w:r>
          <w:rPr>
            <w:rStyle w:val="1170"/>
            <w:rFonts w:ascii="Times New Roman" w:hAnsi="Times New Roman" w:eastAsia="Times New Roman" w:cs="Times New Roman"/>
            <w:i w:val="0"/>
            <w:iCs w:val="0"/>
            <w:sz w:val="22"/>
            <w:szCs w:val="22"/>
            <w:shd w:val="clear" w:color="auto" w:fill="auto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_Toc59 \h</w:instrText>
          <w:fldChar w:fldCharType="separate"/>
          <w:t xml:space="preserve">63</w:t>
          <w:fldChar w:fldCharType="end"/>
        </w:r>
      </w:hyperlink>
      <w:r>
        <w:rPr>
          <w:rStyle w:val="1165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r>
      <w:r>
        <w:rPr>
          <w:rStyle w:val="1165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r>
    </w:p>
    <w:p>
      <w:pPr>
        <w:pStyle w:val="1172"/>
        <w:tabs>
          <w:tab w:val="left" w:pos="850" w:leader="none"/>
          <w:tab w:val="right" w:pos="9923" w:leader="none"/>
        </w:tabs>
        <w:rPr>
          <w:rStyle w:val="1165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60" w:anchor="_Toc60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12.2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i w:val="0"/>
            <w:iCs w:val="0"/>
            <w:sz w:val="22"/>
            <w:szCs w:val="22"/>
            <w:shd w:val="clear" w:color="auto" w:fill="auto"/>
          </w:rPr>
          <w:t xml:space="preserve">Отборочные критерии рассмотрения вторых частей заявок</w:t>
        </w:r>
        <w:r>
          <w:rPr>
            <w:rStyle w:val="1170"/>
            <w:rFonts w:ascii="Times New Roman" w:hAnsi="Times New Roman" w:eastAsia="Times New Roman" w:cs="Times New Roman"/>
            <w:i w:val="0"/>
            <w:iCs w:val="0"/>
            <w:sz w:val="22"/>
            <w:szCs w:val="22"/>
            <w:shd w:val="clear" w:color="auto" w:fill="auto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_Toc60 \h</w:instrText>
          <w:fldChar w:fldCharType="separate"/>
          <w:t xml:space="preserve">64</w:t>
          <w:fldChar w:fldCharType="end"/>
        </w:r>
      </w:hyperlink>
      <w:r>
        <w:rPr>
          <w:rStyle w:val="1165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r>
      <w:r>
        <w:rPr>
          <w:rStyle w:val="1165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r>
    </w:p>
    <w:p>
      <w:pPr>
        <w:pStyle w:val="1172"/>
        <w:tabs>
          <w:tab w:val="left" w:pos="850" w:leader="none"/>
          <w:tab w:val="right" w:pos="9923" w:leader="none"/>
        </w:tabs>
        <w:rPr>
          <w:rStyle w:val="1165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61" w:anchor="_Toc61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12.3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i w:val="0"/>
            <w:iCs w:val="0"/>
            <w:sz w:val="22"/>
            <w:szCs w:val="22"/>
            <w:shd w:val="clear" w:color="auto" w:fill="auto"/>
          </w:rPr>
          <w:t xml:space="preserve">Отборочные критерии рассмотрения ценовых предложений</w:t>
        </w:r>
        <w:r>
          <w:rPr>
            <w:rStyle w:val="1170"/>
            <w:rFonts w:ascii="Times New Roman" w:hAnsi="Times New Roman" w:eastAsia="Times New Roman" w:cs="Times New Roman"/>
            <w:i w:val="0"/>
            <w:iCs w:val="0"/>
            <w:sz w:val="22"/>
            <w:szCs w:val="22"/>
            <w:shd w:val="clear" w:color="auto" w:fill="auto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_Toc61 \h</w:instrText>
          <w:fldChar w:fldCharType="separate"/>
          <w:t xml:space="preserve">67</w:t>
          <w:fldChar w:fldCharType="end"/>
        </w:r>
      </w:hyperlink>
      <w:r>
        <w:rPr>
          <w:rStyle w:val="1165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r>
      <w:r>
        <w:rPr>
          <w:rStyle w:val="1165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r>
    </w:p>
    <w:p>
      <w:pPr>
        <w:pStyle w:val="1172"/>
        <w:tabs>
          <w:tab w:val="left" w:pos="850" w:leader="none"/>
          <w:tab w:val="right" w:pos="9923" w:leader="none"/>
        </w:tabs>
        <w:rPr>
          <w:rStyle w:val="1165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62" w:anchor="_Toc62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12.4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i w:val="0"/>
            <w:iCs w:val="0"/>
            <w:sz w:val="22"/>
            <w:szCs w:val="22"/>
            <w:shd w:val="clear" w:color="auto" w:fill="auto"/>
          </w:rPr>
          <w:t xml:space="preserve">Дополнительные</w:t>
        </w:r>
        <w:r>
          <w:rPr>
            <w:rStyle w:val="1170"/>
            <w:rFonts w:ascii="Times New Roman" w:hAnsi="Times New Roman" w:eastAsia="Times New Roman" w:cs="Times New Roman"/>
            <w:i w:val="0"/>
            <w:iCs w:val="0"/>
            <w:sz w:val="22"/>
            <w:szCs w:val="22"/>
            <w:shd w:val="clear" w:color="auto" w:fill="auto"/>
          </w:rPr>
          <w:t xml:space="preserve"> критерии проверки заяв</w:t>
        </w:r>
        <w:r>
          <w:rPr>
            <w:rStyle w:val="1170"/>
            <w:rFonts w:ascii="Times New Roman" w:hAnsi="Times New Roman" w:eastAsia="Times New Roman" w:cs="Times New Roman"/>
            <w:i w:val="0"/>
            <w:iCs w:val="0"/>
            <w:sz w:val="22"/>
            <w:szCs w:val="22"/>
            <w:shd w:val="clear" w:color="auto" w:fill="auto"/>
          </w:rPr>
          <w:t xml:space="preserve">ок</w:t>
        </w:r>
        <w:r>
          <w:rPr>
            <w:rStyle w:val="1170"/>
            <w:rFonts w:ascii="Times New Roman" w:hAnsi="Times New Roman" w:eastAsia="Times New Roman" w:cs="Times New Roman"/>
            <w:i w:val="0"/>
            <w:iCs w:val="0"/>
            <w:sz w:val="22"/>
            <w:szCs w:val="22"/>
            <w:shd w:val="clear" w:color="auto" w:fill="auto"/>
          </w:rPr>
          <w:t xml:space="preserve"> на соответстви</w:t>
        </w:r>
        <w:r>
          <w:rPr>
            <w:rStyle w:val="1170"/>
            <w:rFonts w:ascii="Times New Roman" w:hAnsi="Times New Roman" w:eastAsia="Times New Roman" w:cs="Times New Roman"/>
            <w:i w:val="0"/>
            <w:iCs w:val="0"/>
            <w:sz w:val="22"/>
            <w:szCs w:val="22"/>
            <w:shd w:val="clear" w:color="auto" w:fill="auto"/>
          </w:rPr>
          <w:t xml:space="preserve">е</w:t>
        </w:r>
        <w:r>
          <w:rPr>
            <w:rStyle w:val="1170"/>
            <w:rFonts w:ascii="Times New Roman" w:hAnsi="Times New Roman" w:eastAsia="Times New Roman" w:cs="Times New Roman"/>
            <w:i w:val="0"/>
            <w:iCs w:val="0"/>
            <w:sz w:val="22"/>
            <w:szCs w:val="22"/>
            <w:shd w:val="clear" w:color="auto" w:fill="auto"/>
          </w:rPr>
          <w:t xml:space="preserve"> условиям Документации о закупке</w:t>
        </w:r>
        <w:r>
          <w:rPr>
            <w:rStyle w:val="1170"/>
            <w:rFonts w:ascii="Times New Roman" w:hAnsi="Times New Roman" w:eastAsia="Times New Roman" w:cs="Times New Roman"/>
            <w:i w:val="0"/>
            <w:iCs w:val="0"/>
            <w:sz w:val="22"/>
            <w:szCs w:val="22"/>
            <w:shd w:val="clear" w:color="auto" w:fill="auto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_Toc62 \h</w:instrText>
          <w:fldChar w:fldCharType="separate"/>
          <w:t xml:space="preserve">68</w:t>
          <w:fldChar w:fldCharType="end"/>
        </w:r>
      </w:hyperlink>
      <w:r>
        <w:rPr>
          <w:rStyle w:val="1165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r>
      <w:r>
        <w:rPr>
          <w:rStyle w:val="1165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r>
    </w:p>
    <w:p>
      <w:pPr>
        <w:pStyle w:val="1173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63" w:anchor="_Toc63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13.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Приложение №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 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8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 – Порядок и критерии оценки и сопоставления заявок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_Toc63 \h</w:instrText>
          <w:fldChar w:fldCharType="separate"/>
          <w:t xml:space="preserve">71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2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64" w:anchor="_Toc64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13.1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Порядок и критерии оценки и сопоставления заявок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_Toc64 \h</w:instrText>
          <w:fldChar w:fldCharType="separate"/>
          <w:t xml:space="preserve">71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3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65" w:anchor="_Toc65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14.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Приложение № 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9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 – Обоснование НМЦ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_Toc65 \h</w:instrText>
          <w:fldChar w:fldCharType="separate"/>
          <w:t xml:space="preserve">73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2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66" w:anchor="_Toc66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14.1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Пояснения к Обоснованию НМЦ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_Toc66 \h</w:instrText>
          <w:fldChar w:fldCharType="separate"/>
          <w:t xml:space="preserve">73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3"/>
        <w:tabs>
          <w:tab w:val="left" w:pos="567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67" w:anchor="_Toc67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15.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Приложение № 1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0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 – Форма Заявки на аккредитацию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_Toc67 \h</w:instrText>
          <w:fldChar w:fldCharType="separate"/>
          <w:t xml:space="preserve">74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72"/>
        <w:tabs>
          <w:tab w:val="left" w:pos="850" w:leader="none"/>
          <w:tab w:val="right" w:pos="992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hyperlink w:tooltip="#_Toc68" w:anchor="_Toc68" w:history="1">
        <w:r>
          <w:rPr>
            <w:rFonts w:ascii="Times New Roman" w:hAnsi="Times New Roman" w:eastAsia="Times New Roman" w:cs="Times New Roman" w:eastAsiaTheme="minorHAnsi"/>
            <w:sz w:val="22"/>
            <w:szCs w:val="22"/>
          </w:rPr>
          <w:t xml:space="preserve">15.1</w:t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  <w:t xml:space="preserve">Пояснения к форме Заявки на аккредитацию</w:t>
        </w:r>
        <w:r>
          <w:rPr>
            <w:rStyle w:val="1170"/>
            <w:rFonts w:ascii="Times New Roman" w:hAnsi="Times New Roman" w:eastAsia="Times New Roman" w:cs="Times New Roman"/>
            <w:sz w:val="22"/>
            <w:szCs w:val="22"/>
          </w:rPr>
        </w:r>
        <w:r>
          <w:rPr>
            <w:rFonts w:ascii="Times New Roman" w:hAnsi="Times New Roman" w:eastAsia="Times New Roman" w:cs="Times New Roman"/>
            <w:sz w:val="22"/>
            <w:szCs w:val="22"/>
          </w:rPr>
          <w:tab/>
        </w:r>
        <w:r>
          <w:rPr>
            <w:rFonts w:ascii="Times New Roman" w:hAnsi="Times New Roman" w:eastAsia="Times New Roman" w:cs="Times New Roman"/>
            <w:sz w:val="22"/>
            <w:szCs w:val="22"/>
          </w:rPr>
          <w:fldChar w:fldCharType="begin"/>
          <w:instrText xml:space="preserve">PAGEREF _Toc68 \h</w:instrText>
          <w:fldChar w:fldCharType="separate"/>
          <w:t xml:space="preserve">74</w:t>
          <w:fldChar w:fldCharType="end"/>
        </w:r>
      </w:hyperlink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 w:eastAsiaTheme="minorEastAsia"/>
          <w:b w:val="0"/>
          <w:caps w:val="0"/>
          <w:sz w:val="22"/>
          <w:szCs w:val="22"/>
          <w:lang w:eastAsia="ru-RU"/>
          <w14:ligatures w14:val="standardContextual"/>
        </w:rPr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keepNext/>
        <w:spacing w:before="60"/>
        <w:rPr>
          <w:rStyle w:val="1191"/>
          <w:rFonts w:ascii="Times New Roman" w:hAnsi="Times New Roman" w:cs="Times New Roman"/>
          <w:sz w:val="22"/>
          <w:szCs w:val="22"/>
        </w:rPr>
      </w:pPr>
      <w:r>
        <w:rPr>
          <w:rStyle w:val="1191"/>
          <w:rFonts w:ascii="Times New Roman" w:hAnsi="Times New Roman" w:eastAsia="Times New Roman" w:cs="Times New Roman"/>
          <w:sz w:val="22"/>
          <w:szCs w:val="22"/>
        </w:rPr>
        <w:t xml:space="preserve">[Примечание (дополнительные удобства работы с Документацией о закупке; </w:t>
      </w:r>
      <w:r>
        <w:rPr>
          <w:rStyle w:val="1191"/>
          <w:rFonts w:ascii="Times New Roman" w:hAnsi="Times New Roman" w:eastAsia="Times New Roman" w:cs="Times New Roman"/>
          <w:sz w:val="22"/>
          <w:szCs w:val="22"/>
        </w:rPr>
        <w:t xml:space="preserve">Microsoft Word | </w:t>
      </w:r>
      <w:r>
        <w:rPr>
          <w:rStyle w:val="1191"/>
          <w:rFonts w:ascii="Times New Roman" w:hAnsi="Times New Roman" w:eastAsia="Times New Roman" w:cs="Times New Roman"/>
          <w:color w:val="4472c4" w:themeColor="accent1"/>
          <w:sz w:val="22"/>
          <w:szCs w:val="22"/>
        </w:rPr>
        <w:t xml:space="preserve">AlterOffice AText – отмечены отличая для данного текстового редактора</w:t>
      </w:r>
      <w:r>
        <w:rPr>
          <w:rStyle w:val="1191"/>
          <w:rFonts w:ascii="Times New Roman" w:hAnsi="Times New Roman" w:eastAsia="Times New Roman" w:cs="Times New Roman"/>
          <w:sz w:val="22"/>
          <w:szCs w:val="22"/>
        </w:rPr>
        <w:t xml:space="preserve">):</w:t>
      </w:r>
      <w:r>
        <w:rPr>
          <w:rStyle w:val="1191"/>
          <w:rFonts w:ascii="Times New Roman" w:hAnsi="Times New Roman" w:cs="Times New Roman"/>
          <w:sz w:val="22"/>
          <w:szCs w:val="22"/>
        </w:rPr>
      </w:r>
      <w:r>
        <w:rPr>
          <w:rStyle w:val="1191"/>
          <w:rFonts w:ascii="Times New Roman" w:hAnsi="Times New Roman" w:cs="Times New Roman"/>
          <w:sz w:val="22"/>
          <w:szCs w:val="22"/>
        </w:rPr>
      </w:r>
    </w:p>
    <w:p>
      <w:pPr>
        <w:pStyle w:val="1160"/>
        <w:numPr>
          <w:ilvl w:val="0"/>
          <w:numId w:val="13"/>
        </w:numPr>
        <w:ind w:left="284" w:hanging="284"/>
        <w:spacing w:before="60"/>
        <w:rPr>
          <w:rStyle w:val="1191"/>
          <w:rFonts w:ascii="Times New Roman" w:hAnsi="Times New Roman" w:cs="Times New Roman"/>
          <w:sz w:val="22"/>
          <w:szCs w:val="22"/>
        </w:rPr>
      </w:pPr>
      <w:r>
        <w:rPr>
          <w:rStyle w:val="1191"/>
          <w:rFonts w:ascii="Times New Roman" w:hAnsi="Times New Roman" w:eastAsia="Times New Roman" w:cs="Times New Roman"/>
          <w:sz w:val="22"/>
          <w:szCs w:val="22"/>
        </w:rPr>
        <w:t xml:space="preserve">для навигации рекомендуется использовать боковое меню – включается на вкладке «Вид» в разделе «Отображение» опцией «Область навигации»</w:t>
      </w:r>
      <w:r>
        <w:rPr>
          <w:rStyle w:val="1191"/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Style w:val="1191"/>
          <w:rFonts w:ascii="Times New Roman" w:hAnsi="Times New Roman" w:eastAsia="Times New Roman" w:cs="Times New Roman"/>
          <w:sz w:val="22"/>
          <w:szCs w:val="22"/>
        </w:rPr>
        <w:t xml:space="preserve">| </w:t>
      </w:r>
      <w:r>
        <w:rPr>
          <w:rStyle w:val="1191"/>
          <w:rFonts w:ascii="Times New Roman" w:hAnsi="Times New Roman" w:eastAsia="Times New Roman" w:cs="Times New Roman"/>
          <w:color w:val="4472c4" w:themeColor="accent1"/>
          <w:sz w:val="22"/>
          <w:szCs w:val="22"/>
        </w:rPr>
        <w:t xml:space="preserve">включается на вкладке «Вид» опцией «Навигатор»</w:t>
      </w:r>
      <w:r>
        <w:rPr>
          <w:rStyle w:val="1191"/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Style w:val="1191"/>
          <w:rFonts w:ascii="Times New Roman" w:hAnsi="Times New Roman" w:cs="Times New Roman"/>
          <w:sz w:val="22"/>
          <w:szCs w:val="22"/>
        </w:rPr>
      </w:r>
      <w:r>
        <w:rPr>
          <w:rStyle w:val="1191"/>
          <w:rFonts w:ascii="Times New Roman" w:hAnsi="Times New Roman" w:cs="Times New Roman"/>
          <w:sz w:val="22"/>
          <w:szCs w:val="22"/>
        </w:rPr>
      </w:r>
    </w:p>
    <w:p>
      <w:pPr>
        <w:pStyle w:val="1160"/>
        <w:numPr>
          <w:ilvl w:val="0"/>
          <w:numId w:val="13"/>
        </w:numPr>
        <w:ind w:left="284" w:hanging="284"/>
        <w:spacing w:before="60"/>
        <w:rPr>
          <w:rStyle w:val="1191"/>
          <w:rFonts w:ascii="Times New Roman" w:hAnsi="Times New Roman" w:cs="Times New Roman"/>
          <w:sz w:val="22"/>
          <w:szCs w:val="22"/>
        </w:rPr>
      </w:pPr>
      <w:r>
        <w:rPr>
          <w:rStyle w:val="1191"/>
          <w:rFonts w:ascii="Times New Roman" w:hAnsi="Times New Roman" w:eastAsia="Times New Roman" w:cs="Times New Roman"/>
          <w:sz w:val="22"/>
          <w:szCs w:val="22"/>
        </w:rPr>
        <w:t xml:space="preserve">переход по перекрестным и другим ссылкам осуществляется левым кликом мыши с</w:t>
      </w:r>
      <w:r>
        <w:rPr>
          <w:rStyle w:val="1191"/>
          <w:rFonts w:ascii="Times New Roman" w:hAnsi="Times New Roman" w:eastAsia="Times New Roman" w:cs="Times New Roman"/>
          <w:sz w:val="22"/>
          <w:szCs w:val="22"/>
          <w:lang w:val="en-US"/>
        </w:rPr>
        <w:t xml:space="preserve"> </w:t>
      </w:r>
      <w:r>
        <w:rPr>
          <w:rStyle w:val="1191"/>
          <w:rFonts w:ascii="Times New Roman" w:hAnsi="Times New Roman" w:eastAsia="Times New Roman" w:cs="Times New Roman"/>
          <w:sz w:val="22"/>
          <w:szCs w:val="22"/>
        </w:rPr>
        <w:t xml:space="preserve">зажатой клавишей Ctrl, обратный возврат на место в тексте, с котор</w:t>
      </w:r>
      <w:r>
        <w:rPr>
          <w:rStyle w:val="1191"/>
          <w:rFonts w:ascii="Times New Roman" w:hAnsi="Times New Roman" w:eastAsia="Times New Roman" w:cs="Times New Roman"/>
          <w:sz w:val="22"/>
          <w:szCs w:val="22"/>
        </w:rPr>
        <w:t xml:space="preserve">ого</w:t>
      </w:r>
      <w:r>
        <w:rPr>
          <w:rStyle w:val="1191"/>
          <w:rFonts w:ascii="Times New Roman" w:hAnsi="Times New Roman" w:eastAsia="Times New Roman" w:cs="Times New Roman"/>
          <w:sz w:val="22"/>
          <w:szCs w:val="22"/>
        </w:rPr>
        <w:t xml:space="preserve"> был </w:t>
      </w:r>
      <w:r>
        <w:rPr>
          <w:rStyle w:val="1191"/>
          <w:rFonts w:ascii="Times New Roman" w:hAnsi="Times New Roman" w:eastAsia="Times New Roman" w:cs="Times New Roman"/>
          <w:sz w:val="22"/>
          <w:szCs w:val="22"/>
        </w:rPr>
        <w:t xml:space="preserve">сделан</w:t>
      </w:r>
      <w:r>
        <w:rPr>
          <w:rStyle w:val="1191"/>
          <w:rFonts w:ascii="Times New Roman" w:hAnsi="Times New Roman" w:eastAsia="Times New Roman" w:cs="Times New Roman"/>
          <w:sz w:val="22"/>
          <w:szCs w:val="22"/>
        </w:rPr>
        <w:t xml:space="preserve"> переход, осуществляется нажатием стрелки влево (←) с зажатой левой клавишей Alt</w:t>
      </w:r>
      <w:r>
        <w:rPr>
          <w:rStyle w:val="1191"/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Style w:val="1191"/>
          <w:rFonts w:ascii="Times New Roman" w:hAnsi="Times New Roman" w:eastAsia="Times New Roman" w:cs="Times New Roman"/>
          <w:color w:val="4472c4" w:themeColor="accent1"/>
          <w:sz w:val="22"/>
          <w:szCs w:val="22"/>
        </w:rPr>
        <w:t xml:space="preserve">(обратный переход функционально не реализован в AlterOffice AText, пользуйтесь функциональностью «Навигатор»)</w:t>
      </w:r>
      <w:r>
        <w:rPr>
          <w:rStyle w:val="1191"/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Style w:val="1191"/>
          <w:rFonts w:ascii="Times New Roman" w:hAnsi="Times New Roman" w:cs="Times New Roman"/>
          <w:sz w:val="22"/>
          <w:szCs w:val="22"/>
        </w:rPr>
      </w:r>
      <w:r>
        <w:rPr>
          <w:rStyle w:val="1191"/>
          <w:rFonts w:ascii="Times New Roman" w:hAnsi="Times New Roman" w:cs="Times New Roman"/>
          <w:sz w:val="22"/>
          <w:szCs w:val="22"/>
        </w:rPr>
      </w:r>
    </w:p>
    <w:p>
      <w:pPr>
        <w:pStyle w:val="1160"/>
        <w:numPr>
          <w:ilvl w:val="0"/>
          <w:numId w:val="13"/>
        </w:numPr>
        <w:ind w:left="284" w:hanging="284"/>
        <w:spacing w:before="60"/>
        <w:rPr>
          <w:rStyle w:val="1191"/>
          <w:rFonts w:ascii="Times New Roman" w:hAnsi="Times New Roman" w:cs="Times New Roman"/>
          <w:sz w:val="22"/>
          <w:szCs w:val="22"/>
        </w:rPr>
      </w:pPr>
      <w:r>
        <w:rPr>
          <w:rStyle w:val="1191"/>
          <w:rFonts w:ascii="Times New Roman" w:hAnsi="Times New Roman" w:eastAsia="Times New Roman" w:cs="Times New Roman"/>
          <w:sz w:val="22"/>
          <w:szCs w:val="22"/>
        </w:rPr>
        <w:t xml:space="preserve">открытие внедренного в текст документа (файла) осуществляется по двойному клику левой клавиши мыши по соответствующей иконк</w:t>
      </w:r>
      <w:r>
        <w:rPr>
          <w:rStyle w:val="1191"/>
          <w:rFonts w:ascii="Times New Roman" w:hAnsi="Times New Roman" w:eastAsia="Times New Roman" w:cs="Times New Roman"/>
          <w:sz w:val="22"/>
          <w:szCs w:val="22"/>
        </w:rPr>
        <w:t xml:space="preserve">е</w:t>
      </w:r>
      <w:r>
        <w:rPr>
          <w:rStyle w:val="1191"/>
          <w:rFonts w:ascii="Times New Roman" w:hAnsi="Times New Roman" w:eastAsia="Times New Roman" w:cs="Times New Roman"/>
          <w:sz w:val="22"/>
          <w:szCs w:val="22"/>
        </w:rPr>
        <w:t xml:space="preserve"> документа (файла) в</w:t>
      </w:r>
      <w:r>
        <w:rPr>
          <w:rStyle w:val="1191"/>
          <w:rFonts w:ascii="Times New Roman" w:hAnsi="Times New Roman" w:eastAsia="Times New Roman" w:cs="Times New Roman"/>
          <w:sz w:val="22"/>
          <w:szCs w:val="22"/>
          <w:lang w:val="en-US"/>
        </w:rPr>
        <w:t xml:space="preserve"> </w:t>
      </w:r>
      <w:r>
        <w:rPr>
          <w:rStyle w:val="1191"/>
          <w:rFonts w:ascii="Times New Roman" w:hAnsi="Times New Roman" w:eastAsia="Times New Roman" w:cs="Times New Roman"/>
          <w:sz w:val="22"/>
          <w:szCs w:val="22"/>
        </w:rPr>
        <w:t xml:space="preserve">тексте</w:t>
      </w:r>
      <w:r>
        <w:rPr>
          <w:rStyle w:val="1191"/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Style w:val="1191"/>
          <w:rFonts w:ascii="Times New Roman" w:hAnsi="Times New Roman" w:cs="Times New Roman"/>
          <w:sz w:val="22"/>
          <w:szCs w:val="22"/>
        </w:rPr>
      </w:r>
      <w:r>
        <w:rPr>
          <w:rStyle w:val="1191"/>
          <w:rFonts w:ascii="Times New Roman" w:hAnsi="Times New Roman" w:cs="Times New Roman"/>
          <w:sz w:val="22"/>
          <w:szCs w:val="22"/>
        </w:rPr>
      </w:r>
    </w:p>
    <w:p>
      <w:pPr>
        <w:pStyle w:val="1160"/>
        <w:numPr>
          <w:ilvl w:val="0"/>
          <w:numId w:val="13"/>
        </w:numPr>
        <w:ind w:left="284" w:hanging="284"/>
        <w:spacing w:before="60"/>
        <w:rPr>
          <w:rStyle w:val="1191"/>
          <w:rFonts w:ascii="Times New Roman" w:hAnsi="Times New Roman" w:cs="Times New Roman"/>
          <w:sz w:val="22"/>
          <w:szCs w:val="22"/>
        </w:rPr>
      </w:pPr>
      <w:r>
        <w:rPr>
          <w:rStyle w:val="1191"/>
          <w:rFonts w:ascii="Times New Roman" w:hAnsi="Times New Roman" w:eastAsia="Times New Roman" w:cs="Times New Roman"/>
          <w:color w:val="4472c4" w:themeColor="accent1"/>
          <w:sz w:val="22"/>
          <w:szCs w:val="22"/>
        </w:rPr>
        <w:t xml:space="preserve">отключение затенения серыми блоками по тексту объектов, в том числе некоторых неразрывных пробелов и перекрестных ссылок: Ctrl + F8 (только для AlterOffice AText)</w:t>
      </w:r>
      <w:r>
        <w:rPr>
          <w:rStyle w:val="1191"/>
          <w:rFonts w:ascii="Times New Roman" w:hAnsi="Times New Roman" w:eastAsia="Times New Roman" w:cs="Times New Roman"/>
          <w:sz w:val="22"/>
          <w:szCs w:val="22"/>
        </w:rPr>
        <w:t xml:space="preserve">.]</w:t>
      </w:r>
      <w:r>
        <w:rPr>
          <w:rStyle w:val="1191"/>
          <w:rFonts w:ascii="Times New Roman" w:hAnsi="Times New Roman" w:cs="Times New Roman"/>
          <w:sz w:val="22"/>
          <w:szCs w:val="22"/>
        </w:rPr>
      </w:r>
      <w:r>
        <w:rPr>
          <w:rStyle w:val="1191"/>
          <w:rFonts w:ascii="Times New Roman" w:hAnsi="Times New Roman" w:cs="Times New Roman"/>
          <w:sz w:val="22"/>
          <w:szCs w:val="22"/>
        </w:rPr>
      </w:r>
    </w:p>
    <w:p>
      <w:pPr>
        <w:pStyle w:val="1159"/>
        <w:rPr>
          <w:rFonts w:ascii="Times New Roman" w:hAnsi="Times New Roman" w:cs="Times New Roman"/>
          <w:sz w:val="22"/>
          <w:szCs w:val="22"/>
        </w:rPr>
        <w:outlineLvl w:val="0"/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358" w:name="_Toc1"/>
      <w:r>
        <w:rPr>
          <w:rFonts w:ascii="Times New Roman" w:hAnsi="Times New Roman" w:eastAsia="Times New Roman" w:cs="Times New Roman"/>
          <w:sz w:val="22"/>
          <w:szCs w:val="22"/>
        </w:rPr>
        <w:t xml:space="preserve">Сокращения</w:t>
      </w:r>
      <w:bookmarkEnd w:id="358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ГК РФ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Гражданской кодекс Российской Федерации.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Декларация ПИРААП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декларация о подтверждении использования при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изготовлении продукции российского алюминия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или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его полуфабрикатов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указанием их доли в общем объеме используемого алюминия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или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его полуфабрикатов в натуральном выражении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ЕГРИП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диный государственный реестр индивидуальных предпринимателей.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ЕГРЮЛ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диный государственный реестр юридических лиц.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ЕИС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диная информационная система в сфере закупок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Закон 44-ФЗ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Федеральный закон от 05.04.2013 № 44-ФЗ «О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контрактной системе в</w: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сфере закупок товаров, работ, услуг для обеспечения государственных и муниципальных нужд».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Закон 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209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-ФЗ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Федеральны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закон от 24.07.2007 №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209-ФЗ «О развитии малого и среднего предпринимательства в Российской Федерации»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Закон 223-ФЗ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Федеральный закон от 18.07.2011 № 223-ФЗ «О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закупках товаров, работ, услуг отдельными видами юридических лиц».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Закон 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255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-ФЗ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Федеральны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закон от 14.07.2022 №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255-ФЗ «О контроле за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деятельностью лиц, находящихся под иностранным влиянием»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Закон 422-ФЗ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Федеральны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закон от 27.11.2018 №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422-ФЗ «О проведении эксперимента по установлению специального налогового режима «Налог на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профессиональный доход»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Законодательство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законодательство Российской Федерации (если в тексте настояще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й Документации о закупке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прямо не указано иное)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Извещение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звещение о проведении настоящей закупки.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ИНН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идентификационный номер налогоплательщика.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ИФНС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инспекция Федеральной налоговой службы Российской Федерации.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МТР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материально-технические ресурсы.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НДС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налог на добавленную стоимость.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НМЦ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начальная (максимальная) цена договора.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Оператор ЭП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оператор электронной площадки.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Официальный сайт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официальный сайт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диной информационной системы в сфере закупок, расположенный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сети Интернет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по </w: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t xml:space="preserve">URL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-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адресу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https://zakupki.gov.ru/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Положение о закупке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Единое Положение о закупке продукции для нужд Группы РусГидро.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Положение об аккредитации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Единое Положение об аккредитации поставщиков продукции в Группе РусГидро, размещенное на Официальном сайте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составе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Положени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 закупке).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ПП 395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постановление Правительства Российской Федерации от 18.03.2022 № 395 «Об особенностях доступа к информации, содержащейся в государственном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информационном ресурсе бухгалтерской (финансовой) отчетности, и раскрытия консолидированной финансовой отчетности в 2022 году».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ПП 1352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постановление Правительства от 11.12.2014 № 1352 «Об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ПП 1875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постановление Правительства от 23.12.2024 №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1875 «О мерах 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Реестр МСП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единый реестр субъектов малого и среднего предпринимательства, ведение которого осуществляется в соответствии с Законом 209-ФЗ.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Стороны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Организатор, Заказчик и Участники, являющиеся сторонами данной закупки (при совместном упоминании).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Субъект МСП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субъект малого и среднего предпринимательства.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ЭП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электронная площадка.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9"/>
        <w:rPr>
          <w:rFonts w:ascii="Times New Roman" w:hAnsi="Times New Roman" w:cs="Times New Roman"/>
          <w:sz w:val="22"/>
          <w:szCs w:val="22"/>
        </w:rPr>
        <w:outlineLvl w:val="0"/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359" w:name="_Toc2"/>
      <w:r>
        <w:rPr>
          <w:rFonts w:ascii="Times New Roman" w:hAnsi="Times New Roman" w:eastAsia="Times New Roman" w:cs="Times New Roman"/>
          <w:sz w:val="22"/>
          <w:szCs w:val="22"/>
        </w:rPr>
        <w:t xml:space="preserve">Термины и определения</w:t>
      </w:r>
      <w:bookmarkEnd w:id="359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Аккредитация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процедура проверки заявителей (потенциальных поставщиков)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на соответствие требованиям в отношении их правоспособности, благонадежности и деловой репутации, с целью включения их в Реестр аккредитации для обеспечения (в этой части) допуска к участию в закупках, проводимых в Группе РусГидро. Аккредитация проводится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 целью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защиты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интересов Заказчика от действий недобросовестных лиц и неблагонадежных поставщиков продукции при проведении закупочных процедур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 выборе Победителя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 является проявлением коммерческой осмотрительности Заказчика при заключении договора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(-ов) по результатам закупки. Порядок проведения данной процедуры представлен в Положени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об аккредитации.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Актуализация статуса 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(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аккредитации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процедура повторной проверки определенного (конкретного) ранее аккредитованного Поставщика на предмет соответствия его установленным критериям аккредитации (или наличия оснований, 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которым прохождение аккредитации не требуется), с продлением срока действия его аккредитации в случае положительного результата такой проверки; при этом от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Поставщика (Участника) не требуется повторное заполнение Заявки на аккредитацию.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Вторая часть заявки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комплект докум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ентов, входящих в состав заявки и содержащих сведения об Участнике и информацию о его соответствии требованиям Документации о закупке, копии документов, подтверждающих соответствие поставляемой продукции, требованиям Документации о закупке, установленным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соответствии с законодательством (в случае установления таких требований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Документации о закупке), а также информацию и документы, необходимые для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осуществления оценки заявки в отношении Участника (в случае установления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Документации о закупке соответствующих критериев и порядка оценки) (без указания сведений о ценовом предложении Участника).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Генеральный подрядчик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подрядчик, привлекающий 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исполнению своих обязательств по договору с Заказчиком третьих лиц (субподрядчиков). Под генеральным подрядчиком и субподрядчиками понимаются соответственно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также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генеральный исполнитель и соисполнители, генеральный поставщик и субпоставщики, в зависимости от предмета закупки.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Документация о закупке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комплект документов, содержащий всю необходимую согласно законодательству информацию о закупке и условиях ее проведения.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Единая информационная система в сфере закупок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совокупность информации, содержащейся в базах данных, информационных технологий и техничес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ких средств, обеспечивающих формирование, обработку, хранение такой информации,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Единый реестр субъектов малого и среднего предпринимательства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реестр, являющийся официальным источником сведений о юридических лицах и об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индивидуальных предпринимателях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отнесенных по законодательству к таковым, и размещенный в сети Интернет на официальном сайте федерального органа исполнительной власти Российской Федерации, осуществляющего функции по контролю и надзору за соблюдением законодательства о налогах и сборах.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Заказчик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юридическое лицо, в интересах и за счет средств, которого осуществляется закупка.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Закупка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последовательность действий, осуществляемая в соответствии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требованиями законодательства, Положением о закупке, иными локальными нормативными документами (актами) Заказчика, а для конкурентной закупки (и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неконкурентной, проводимой способом состязательный отбор) дополнительно – правилами, установленными Извещением и Документацией о закупке, в результате которой производится выбор поставщика с целью заключения договора на приобретение продукции.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Закупочная комиссия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коллегиальный орган, принимающий решения о ходе проведения соответствующей закупки (в том числе по выбору ее победителя)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Заявка (заявка на участие в закупке)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документ (комплект документов), содержащий предложения Участника,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условиях, определенных Заказчиком: для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конкурентных закупок – в Извещении 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(или) Документацией о закупке.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Заявка на аккредитацию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сведения, которые Заявитель предоставляет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установленном Положением об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аккредитации порядке для прохождения аккредитации.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Извещение о закупке (Извещение)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документ, предназначенный для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потенциальных Участников, публикация (размещение) которого означает официальное объявление о начале закупки (информация в объеме, определенном частью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9 статьи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 Закона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223-ФЗ и Положением о закупке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); под данным документом и соответственно его размещением также подразумевается заполнение и создание на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Официальном сайте (ЕИС) 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(или) ЭП соответствующей страницы на указанных ресурсах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информацией об объявленной закупке.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Интеллектуальные системы управления электросетевым хозяйством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системы удален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ного мониторинга и диагностики, интеллектуальные системы учета электрической энергии (мощности), автоматизированные системы управления технологическими процессами подстанций, автоматизированные системы технологического управления центров управления сетями.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Лот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продукция, на которую в рамках закупки допускаются подача отдельного предложения и заключение отдельного договора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Мониторинг аккредитованных поставщиков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процедура выборочной повторной проверки любого ранее аккредитованного Пос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тавщика на предмет соответствия его установленным критериям аккредитации (или наличия оснований, по которым прохождение аккредитации не требуется), без продления срока действия его аккредитации в случае положительного результата такой проверки; при этом от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Поставщика (Участника) не требуется повторное заполнение Заявки на аккредитацию.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Начальная (максимальная) цена договора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предельно допустимая цена договора (лота, единицы продукции), превышение которой исключает возможность заключения договора / недопустимо для заключения договора по итогам проведения закупки.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Оператор 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электронной площадки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юридическое лицо, соответствующее требованиям законодательства, владеющее электронной площадкой и обеспечивающее проведение закупок в электронной форме в соответствии с положениями законодательства.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Организатор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Заказчик или действующее по договору с ним юридическое лицо, выступающее Сторонним организатором закупки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Официальное размещение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размещение информации о закупке в ЕИС, на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Официальном сайте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bookmarkStart w:id="2" w:name="_Hlk149048701"/>
      <w:r>
        <w:rPr>
          <w:rFonts w:ascii="Times New Roman" w:hAnsi="Times New Roman" w:eastAsia="Times New Roman" w:cs="Times New Roman"/>
          <w:sz w:val="22"/>
          <w:szCs w:val="22"/>
        </w:rPr>
        <w:t xml:space="preserve">(с размещением коп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на ЭП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bookmarkEnd w:id="2"/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Если окончание срока размещения приходится на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нерабочий день согласно законодательству, сведения размещаются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первый рабочий день, следующий за нерабочими днями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Первая часть заявки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комплект документов, входящих в состав заявки и содержащих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или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его ценовом предложении), 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также информацию и документы, необходимые для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осуществления оценки заявки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отношении предлагаемой к поставке продукции (в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случае установления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Документации о закупке соответствующих критериев и порядка оценки).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Победитель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Участник, заявка которого соответствует требованиям Документации о закупке и который предложил лучшие условия исполнения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оговора на основании критериев оценки в соответствии с Документацией о закупке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случае признания закупки несостоявшейся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динственный участник такой закупки,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которым Заказчик приня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л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решение заключить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оговор по результатам закупки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оговоренных Положением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закупке случаях приобретает обязательства Победителя 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заключению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оговора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Поставщик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любое юридическое или физическое лицо, способное на законных основаниях поставить Заказчику требуемую продукцию. Под поставщиком продукции при закупке работ / услуг понимается соответственно подрядчик / исполнитель.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Предмет закупки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 /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 предмет договора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конкретная продукция, которую предполагается закупить в объеме и на условиях, определенных Заказчиком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Преференция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преимущество, которое Заказчик предоставляет определенным группам поставщиков при проведении закупок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соответствии с Единым Положением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закупке продукции для нужд Группы РусГидро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Применение законодательства о национальном режиме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обеспечение (либо необеспечение) происходящему из иностранного государства или группы иностранных государств товару, работе, услуге, соответственно выполняемой, оказываемой иностранным гражданином или иностранным юридическим лицом, равные условия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соответствии с нормами, установленными законодательством.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Программное обеспечение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программное обеспечение, включенное в единый реестр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Минцифры России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российских программ для электронных вычислительных машин и баз данных, используемое в качестве компонента интеллектуальных систем управления электросетевым хозяйством.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Продукция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товары, работы, услуги, приобретаемые Заказчиком на возмездной основе; в том числе в контексте «поставка продукции»: поставка товаров, выполнение работ, оказание услуг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Реестр аккредитации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перечень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лиц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Заявителей, подававших Заявки на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аккредитацию с указанием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отношении них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результатов процедуры аккредитации.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Субъект малого и среднего предпринимательства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определяется в соответствии с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Законом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209-ФЗ. Все условия и требования данной Документации о закупке, относящиеся к субъектам МСП, распространяются также на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физических лиц, не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являющихся индивидуальными предпринимателями и применяющих специальный налоговый режим «Налог на профессиональный доход»</w:t>
      </w:r>
      <w:r>
        <w:rPr>
          <w:rStyle w:val="1168"/>
          <w:rFonts w:ascii="Times New Roman" w:hAnsi="Times New Roman" w:eastAsia="Times New Roman" w:cs="Times New Roman"/>
          <w:sz w:val="22"/>
          <w:szCs w:val="22"/>
        </w:rPr>
        <w:footnoteReference w:id="2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если иное не установлено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Документации о закупке.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Уполномоченное лицо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руководитель организации, действующий на основании устава, или уполномоченное им лицо, действующее на основании доверенности на осуществление действий от имени организации, полномочия которых подтверждены соответствующими документами.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Участник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любое юридическое лицо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независимо от организационно-правовой формы, формы собственности, места нахождения и места происхождения капитала (за исключением юридического лица, являющегося иностранным агентом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соответствии с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Законом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255-ФЗ), либо любое физическое лицо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в том числе индивидуальный предприниматель (за исключением физического лица, являющегося иностранным агентом в соответствии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Законом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255-ФЗ)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выразившее заинтересованность в участии в закупке (посредством получения Документации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закупке, направления запроса о разъяснении Документации о закупке, внесения обеспечения заявки или подачи заявки на участие в закупке)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Ценовое предложение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комплект документов, входящих в состав заявки, но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подаваемых отдельно от первой и второй частей заявки и содержащих предложение Участника о цене Договора 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или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каждой единицы продукции, являющейся предметом Договора, 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или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формулу расчета цены Договора 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или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расходы на эксплуатацию и ремонт товаров, использование результатов работ / услуг 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или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любые иные сведения / документы, требуемые в соответствии с Документацией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закупке и содержащие информацию о ценовых параметрах предложения Участника.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360" w:name="_Toc3"/>
      <w:r>
        <w:rPr>
          <w:rFonts w:ascii="Times New Roman" w:hAnsi="Times New Roman" w:eastAsia="Times New Roman" w:cs="Times New Roman"/>
          <w:sz w:val="22"/>
          <w:szCs w:val="22"/>
        </w:rPr>
      </w:r>
      <w:bookmarkStart w:id="3" w:name="_Ref125359988"/>
      <w:r>
        <w:rPr>
          <w:rFonts w:ascii="Times New Roman" w:hAnsi="Times New Roman" w:eastAsia="Times New Roman" w:cs="Times New Roman"/>
          <w:sz w:val="22"/>
          <w:szCs w:val="22"/>
        </w:rPr>
        <w:t xml:space="preserve">Основные сведения о закупке</w:t>
      </w:r>
      <w:bookmarkEnd w:id="3"/>
      <w:r>
        <w:rPr>
          <w:rFonts w:ascii="Times New Roman" w:hAnsi="Times New Roman" w:eastAsia="Times New Roman" w:cs="Times New Roman"/>
          <w:sz w:val="22"/>
          <w:szCs w:val="22"/>
        </w:rPr>
      </w:r>
      <w:bookmarkEnd w:id="360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361" w:name="_Toc4"/>
      <w:r>
        <w:rPr>
          <w:rFonts w:ascii="Times New Roman" w:hAnsi="Times New Roman" w:eastAsia="Times New Roman" w:cs="Times New Roman"/>
          <w:sz w:val="22"/>
          <w:szCs w:val="22"/>
        </w:rPr>
        <w:t xml:space="preserve">Статус настоящего раздела</w:t>
      </w:r>
      <w:bookmarkEnd w:id="361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настоящем разделе содержатся основные сведения о предмете, способе и иных ключевых условиях проводимой закупки.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Здесь и далее все используемые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ссылки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относятся к соответствующим пунктам, разделам и подразделам Документации о закупке, если прямо не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указано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иное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 ссылки на приложения относятся 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соответствующим приложениям 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Документации о закупке, если прямо не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указано иное.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Ссылки на статьи, пункты и разделы, используемые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hyperlink w:tooltip="#Прил01_ТехТребования" w:anchor="Прил01_ТехТребования" w:history="1"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Технически</w:t>
        </w:r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х</w:t>
        </w:r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 требовани</w:t>
        </w:r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ях (Приложение № 1)</w:t>
        </w:r>
      </w:hyperlink>
      <w:r>
        <w:rPr>
          <w:rStyle w:val="1184"/>
          <w:rFonts w:ascii="Times New Roman" w:hAnsi="Times New Roman" w:eastAsia="Times New Roman" w:cs="Times New Roman"/>
          <w:sz w:val="22"/>
          <w:szCs w:val="22"/>
        </w:rPr>
        <w:t xml:space="preserve">,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</w:t>
      </w:r>
      <w:hyperlink w:tooltip="#Прил02_ПроектДоговора" w:anchor="Прил02_ПроектДоговора" w:history="1"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П</w:t>
        </w:r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роект</w:t>
        </w:r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е</w:t>
        </w:r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 </w:t>
        </w:r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д</w:t>
        </w:r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оговора</w:t>
        </w:r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 (Приложение № 2)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 и иных приложениях 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Документации о закупке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относятся соответственно к статьям, пунктам и разделам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этих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приложений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к Документации о закупке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Все приложения 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Документации о закупке являются ее неотъемлемыми частями.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Информация о проводимой закупке, указанная в подразделе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в объеме, определенном частью 9 статьи 4 Закона 223-ФЗ, составляет Извещение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 закупке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5"/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362" w:name="_Toc5"/>
      <w:r>
        <w:rPr>
          <w:rFonts w:ascii="Times New Roman" w:hAnsi="Times New Roman" w:eastAsia="Times New Roman" w:cs="Times New Roman"/>
          <w:sz w:val="22"/>
          <w:szCs w:val="22"/>
        </w:rPr>
      </w:r>
      <w:bookmarkStart w:id="6" w:name="_Ref125359973"/>
      <w:r>
        <w:rPr>
          <w:rFonts w:ascii="Times New Roman" w:hAnsi="Times New Roman" w:eastAsia="Times New Roman" w:cs="Times New Roman"/>
          <w:sz w:val="22"/>
          <w:szCs w:val="22"/>
        </w:rPr>
      </w:r>
      <w:bookmarkStart w:id="7" w:name="_Ref127270076"/>
      <w:r>
        <w:rPr>
          <w:rFonts w:ascii="Times New Roman" w:hAnsi="Times New Roman" w:eastAsia="Times New Roman" w:cs="Times New Roman"/>
          <w:sz w:val="22"/>
          <w:szCs w:val="22"/>
        </w:rPr>
      </w:r>
      <w:bookmarkStart w:id="8" w:name="_Ref132876309"/>
      <w:r>
        <w:rPr>
          <w:rFonts w:ascii="Times New Roman" w:hAnsi="Times New Roman" w:eastAsia="Times New Roman" w:cs="Times New Roman"/>
          <w:sz w:val="22"/>
          <w:szCs w:val="22"/>
        </w:rPr>
        <w:t xml:space="preserve">Информация о проводимой закупке</w:t>
      </w:r>
      <w:bookmarkEnd w:id="6"/>
      <w:r>
        <w:rPr>
          <w:rFonts w:ascii="Times New Roman" w:hAnsi="Times New Roman" w:eastAsia="Times New Roman" w:cs="Times New Roman"/>
          <w:sz w:val="22"/>
          <w:szCs w:val="22"/>
        </w:rPr>
      </w:r>
      <w:bookmarkEnd w:id="7"/>
      <w:r>
        <w:rPr>
          <w:rFonts w:ascii="Times New Roman" w:hAnsi="Times New Roman" w:eastAsia="Times New Roman" w:cs="Times New Roman"/>
          <w:sz w:val="22"/>
          <w:szCs w:val="22"/>
        </w:rPr>
      </w:r>
      <w:bookmarkEnd w:id="8"/>
      <w:r>
        <w:rPr>
          <w:rFonts w:ascii="Times New Roman" w:hAnsi="Times New Roman" w:eastAsia="Times New Roman" w:cs="Times New Roman"/>
          <w:sz w:val="22"/>
          <w:szCs w:val="22"/>
        </w:rPr>
      </w:r>
      <w:bookmarkEnd w:id="362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Style w:val="1181"/>
        <w:tblW w:w="0" w:type="auto"/>
        <w:tblLayout w:type="fixed"/>
        <w:tblLook w:val="04A0" w:firstRow="1" w:lastRow="0" w:firstColumn="1" w:lastColumn="0" w:noHBand="0" w:noVBand="1"/>
      </w:tblPr>
      <w:tblGrid>
        <w:gridCol w:w="850"/>
        <w:gridCol w:w="2835"/>
        <w:gridCol w:w="6227"/>
      </w:tblGrid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  <w:t xml:space="preserve">п/п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Наименование пункта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227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Содержание пункта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10" w:name="_Ref125360980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10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116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Способ закупки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227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Запрос предложений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в электронной форме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участниками которого могут быть только субъекты МСП.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11" w:name="_Ref125360996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11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116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Предмет Договора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 том числе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номер лота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227" w:type="dxa"/>
            <w:textDirection w:val="lrTb"/>
            <w:noWrap w:val="false"/>
          </w:tcPr>
          <w:p>
            <w:pPr>
              <w:ind w:left="0" w:right="0" w:firstLine="0"/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sz w:val="22"/>
                <w:szCs w:val="22"/>
              </w:rPr>
              <w:t xml:space="preserve">ОКПД 2 43.21.10 Выполнение строительно-монтажных работ по объекту: модернизация электрических кабелей оборудования масло-мазутного хозяйства Комсомольской ТЭЦ-3 (9 км) в рамках реализации инвестиционного проекта N_505-КТЭЦ3-5, г. Комсомольск-на-Амуре</w:t>
            </w: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sz w:val="22"/>
                <w:szCs w:val="22"/>
              </w:rPr>
              <w:t xml:space="preserve">: Лот </w:t>
            </w: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sz w:val="22"/>
                <w:szCs w:val="22"/>
              </w:rPr>
              <w:t xml:space="preserve">22130006-ТПИР ОБСЛ-2026-ДГК-КТЭЦ3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Описание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  <w:t xml:space="preserve">предмета закупки: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227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Подробное описание предмета закупки, в том числе функциональные характеристики (потребительские свойства), технические и качественные характеристики, а также эксплуатационные характеристики (при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необходимости) предмета закупки, информация о количестве поставляемого товара, объема выполняемых работ, оказываемых услуг, 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также место поставки товара, выполнения работы, оказания услуги, содержится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 </w:t>
            </w:r>
            <w:hyperlink w:tooltip="#Прил01_ТехТребования" w:anchor="Прил01_ТехТребования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Технических требованиях (Приложении № 1)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12" w:name="_Ref125367124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12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116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Многолотовая закупка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227" w:type="dxa"/>
            <w:textDirection w:val="lrTb"/>
            <w:noWrap w:val="false"/>
          </w:tcPr>
          <w:p>
            <w:pPr>
              <w:pStyle w:val="120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 xml:space="preserve">Нет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  <w:p>
            <w:pPr>
              <w:pStyle w:val="119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13" w:name="_Ref125360764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13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116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Наименование и адрес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ЭП,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на которой проводится закупка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22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c33f5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Закупка проводится с помощью Единой электронной торговой площадки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Росэлторг</w:t>
            </w:r>
            <w:r>
              <w:rPr>
                <w:rFonts w:ascii="Times New Roman" w:hAnsi="Times New Roman" w:eastAsia="Times New Roman" w:cs="Times New Roman"/>
                <w:color w:val="1f497d"/>
                <w:sz w:val="22"/>
                <w:szCs w:val="22"/>
                <w:lang w:eastAsia="en-US"/>
              </w:rPr>
              <w:t xml:space="preserve"> </w:t>
            </w:r>
            <w:r>
              <w:rPr>
                <w:rStyle w:val="1170"/>
                <w:rFonts w:ascii="Times New Roman" w:hAnsi="Times New Roman" w:eastAsia="Times New Roman" w:cs="Times New Roman"/>
                <w:color w:val="0c33f5"/>
                <w:sz w:val="22"/>
                <w:szCs w:val="22"/>
              </w:rPr>
              <w:t xml:space="preserve">https://corp.roseltorg.ru/</w:t>
            </w:r>
            <w:r>
              <w:rPr>
                <w:rFonts w:ascii="Times New Roman" w:hAnsi="Times New Roman" w:cs="Times New Roman"/>
                <w:b/>
                <w:bCs/>
                <w:color w:val="0c33f5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color w:val="0c33f5"/>
                <w:sz w:val="22"/>
                <w:szCs w:val="22"/>
              </w:rPr>
            </w:r>
          </w:p>
          <w:p>
            <w:pPr>
              <w:ind w:left="38"/>
              <w:jc w:val="both"/>
              <w:spacing w:after="120"/>
              <w:rPr>
                <w:rFonts w:ascii="Times New Roman" w:hAnsi="Times New Roman" w:cs="Times New Roman"/>
                <w:bCs/>
                <w:i/>
                <w:color w:val="0c33f5"/>
                <w:sz w:val="22"/>
                <w:szCs w:val="22"/>
                <w:highlight w:val="none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Регламент ЭТП, в соответствии с которым проводится закупка, размещен по адресу: </w:t>
            </w:r>
            <w:r>
              <w:rPr>
                <w:rStyle w:val="1165"/>
              </w:rPr>
            </w:r>
            <w:hyperlink r:id="rId12" w:tooltip="http://www.roseltorg.ru/knowledge_db/docs/documents" w:history="1">
              <w:r>
                <w:rPr>
                  <w:rStyle w:val="1170"/>
                  <w:color w:val="0c33f5"/>
                  <w:sz w:val="22"/>
                  <w:szCs w:val="22"/>
                </w:rPr>
                <w:t xml:space="preserve">www.roseltorg.ru/knowledge_db/docs/documents</w:t>
              </w:r>
              <w:r>
                <w:rPr>
                  <w:rStyle w:val="1170"/>
                  <w:color w:val="0c33f5"/>
                  <w:sz w:val="22"/>
                  <w:szCs w:val="22"/>
                </w:rPr>
              </w:r>
              <w:r>
                <w:rPr>
                  <w:rStyle w:val="1170"/>
                  <w:rFonts w:ascii="Times New Roman" w:hAnsi="Times New Roman" w:cs="Times New Roman"/>
                  <w:i/>
                  <w:sz w:val="22"/>
                  <w:szCs w:val="22"/>
                  <w:shd w:val="clear" w:color="auto" w:fill="ffff99"/>
                </w:rPr>
              </w:r>
            </w:hyperlink>
            <w:r>
              <w:rPr>
                <w:rFonts w:ascii="Times New Roman" w:hAnsi="Times New Roman" w:cs="Times New Roman"/>
                <w:bCs/>
                <w:i/>
                <w:color w:val="0c33f5"/>
                <w:sz w:val="22"/>
                <w:szCs w:val="22"/>
                <w:highlight w:val="none"/>
                <w:shd w:val="clear" w:color="auto" w:fill="ffff99"/>
              </w:rPr>
            </w:r>
            <w:r>
              <w:rPr>
                <w:rFonts w:ascii="Times New Roman" w:hAnsi="Times New Roman" w:cs="Times New Roman"/>
                <w:bCs/>
                <w:i/>
                <w:color w:val="0c33f5"/>
                <w:sz w:val="22"/>
                <w:szCs w:val="22"/>
                <w:highlight w:val="none"/>
                <w:shd w:val="clear" w:color="auto" w:fill="ffff99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14" w:name="_Ref125360970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14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116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Участники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227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Участвовать в закупке могут т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олько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субъекты МСП, а также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физически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лиц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не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являющихся индивидуальными предпринимателями и применяющих специальный налоговый режим «Налог на профессиональный доход»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При этом Участник вправе привлекать субподрядчиков (соисполнителей), в том числе не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являющихся субъектами МСП, а также указанными выше физическими лицами (в случае отсутствия в условиях </w:t>
            </w:r>
            <w:hyperlink w:tooltip="#Прил02_ПроектДоговора" w:anchor="Прил02_ПроектДоговора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Проекта Договора (Приложение № 2)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прямого запрета на привлечение 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исполнению обязательств по Договору третьих лиц).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15" w:name="_Ref125360988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15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116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227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Акционерное общество «Дальневосточная генерирующая компания» (далее - АО «ДГК»)</w:t>
            </w:r>
            <w:r>
              <w:rPr>
                <w:rFonts w:ascii="Times New Roman" w:hAnsi="Times New Roman" w:cs="Times New Roman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14:ligatures w14:val="none"/>
              </w:rPr>
            </w:r>
          </w:p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Место нахождения: 680000, г. Хабаровск, ул. Фрунзе, д. 49</w:t>
            </w:r>
            <w:r>
              <w:rPr>
                <w:rFonts w:ascii="Times New Roman" w:hAnsi="Times New Roman" w:cs="Times New Roman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14:ligatures w14:val="none"/>
              </w:rPr>
            </w:r>
          </w:p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Почтовый адрес: 680000, г. Хабаровск, ул. Фрунзе, д. 49</w:t>
            </w:r>
            <w:r>
              <w:rPr>
                <w:rFonts w:ascii="Times New Roman" w:hAnsi="Times New Roman" w:cs="Times New Roman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14:ligatures w14:val="none"/>
              </w:rPr>
            </w:r>
          </w:p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Адрес электронной почты: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hyperlink r:id="rId13" w:tooltip="mailto:dgk@dgk.ru" w:history="1">
              <w:r>
                <w:rPr>
                  <w:rStyle w:val="1170"/>
                  <w:rFonts w:ascii="Times New Roman" w:hAnsi="Times New Roman" w:eastAsia="Times New Roman" w:cs="Times New Roman"/>
                  <w:color w:val="0c33f5"/>
                  <w:sz w:val="22"/>
                  <w:szCs w:val="22"/>
                  <w:lang w:val="en-US"/>
                </w:rPr>
                <w:t xml:space="preserve">dgk</w:t>
              </w:r>
              <w:r>
                <w:rPr>
                  <w:rStyle w:val="1170"/>
                  <w:rFonts w:ascii="Times New Roman" w:hAnsi="Times New Roman" w:eastAsia="Times New Roman" w:cs="Times New Roman"/>
                  <w:color w:val="0c33f5"/>
                  <w:sz w:val="22"/>
                  <w:szCs w:val="22"/>
                </w:rPr>
                <w:t xml:space="preserve">@</w:t>
              </w:r>
              <w:r>
                <w:rPr>
                  <w:rStyle w:val="1170"/>
                  <w:rFonts w:ascii="Times New Roman" w:hAnsi="Times New Roman" w:eastAsia="Times New Roman" w:cs="Times New Roman"/>
                  <w:color w:val="0c33f5"/>
                  <w:sz w:val="22"/>
                  <w:szCs w:val="22"/>
                  <w:lang w:val="en-US"/>
                </w:rPr>
                <w:t xml:space="preserve">dgk</w:t>
              </w:r>
              <w:r>
                <w:rPr>
                  <w:rStyle w:val="1170"/>
                  <w:rFonts w:ascii="Times New Roman" w:hAnsi="Times New Roman" w:eastAsia="Times New Roman" w:cs="Times New Roman"/>
                  <w:color w:val="0c33f5"/>
                  <w:sz w:val="22"/>
                  <w:szCs w:val="22"/>
                </w:rPr>
                <w:t xml:space="preserve">.</w:t>
              </w:r>
              <w:r>
                <w:rPr>
                  <w:rStyle w:val="1170"/>
                  <w:rFonts w:ascii="Times New Roman" w:hAnsi="Times New Roman" w:eastAsia="Times New Roman" w:cs="Times New Roman"/>
                  <w:color w:val="0c33f5"/>
                  <w:sz w:val="22"/>
                  <w:szCs w:val="22"/>
                  <w:lang w:val="en-US"/>
                </w:rPr>
                <w:t xml:space="preserve">ru</w:t>
              </w:r>
            </w:hyperlink>
            <w:r>
              <w:rPr>
                <w:rFonts w:ascii="Times New Roman" w:hAnsi="Times New Roman" w:eastAsia="Times New Roman" w:cs="Times New Roman"/>
                <w:color w:val="0c33f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202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 xml:space="preserve">Контактный телефон: +7(4212) 26-4</w:t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 xml:space="preserve">-3</w:t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 xml:space="preserve">0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tabs>
                <w:tab w:val="center" w:pos="2089" w:leader="none"/>
              </w:tabs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2"/>
                <w:szCs w:val="22"/>
                <w:u w:val="none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2"/>
                <w:szCs w:val="22"/>
                <w:u w:val="none"/>
              </w:rPr>
              <w:t xml:space="preserve">о вопросам разъяснения Технических требований и заключения Договора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iCs w:val="0"/>
                <w:sz w:val="22"/>
                <w:szCs w:val="22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iCs w:val="0"/>
                <w:sz w:val="22"/>
                <w:szCs w:val="22"/>
                <w:u w:val="none"/>
              </w:rPr>
              <w:t xml:space="preserve"> </w:t>
            </w:r>
            <w:r>
              <w:rPr>
                <w:sz w:val="22"/>
                <w:szCs w:val="22"/>
                <w:u w:val="none"/>
              </w:rPr>
              <w:t xml:space="preserve">обращаться</w:t>
            </w:r>
            <w:r>
              <w:rPr>
                <w:b w:val="0"/>
                <w:sz w:val="22"/>
                <w:szCs w:val="22"/>
              </w:rPr>
              <w:t xml:space="preserve"> </w:t>
            </w:r>
            <w:r>
              <w:rPr>
                <w:b w:val="0"/>
                <w:sz w:val="22"/>
                <w:szCs w:val="22"/>
              </w:rPr>
              <w:t xml:space="preserve">к в</w:t>
            </w:r>
            <w:r>
              <w:rPr>
                <w:b w:val="0"/>
                <w:sz w:val="22"/>
                <w:szCs w:val="22"/>
              </w:rPr>
              <w:t xml:space="preserve">едущему экономисту группы капитального строительства и реконструкции СП «Комсомольская ТЭЦ-3»</w:t>
            </w:r>
            <w:r>
              <w:rPr>
                <w:b w:val="0"/>
                <w:sz w:val="22"/>
                <w:szCs w:val="22"/>
              </w:rPr>
              <w:t xml:space="preserve"> АО «ДГК»</w:t>
            </w:r>
            <w:r>
              <w:rPr>
                <w:b w:val="0"/>
                <w:sz w:val="22"/>
                <w:szCs w:val="22"/>
              </w:rPr>
              <w:t xml:space="preserve"> </w:t>
            </w:r>
            <w:r>
              <w:rPr>
                <w:b w:val="0"/>
                <w:sz w:val="22"/>
                <w:szCs w:val="22"/>
              </w:rPr>
              <w:t xml:space="preserve">-</w:t>
            </w:r>
            <w:r>
              <w:rPr>
                <w:b w:val="0"/>
                <w:sz w:val="22"/>
                <w:szCs w:val="22"/>
              </w:rPr>
              <w:t xml:space="preserve"> </w:t>
            </w:r>
            <w:r>
              <w:rPr>
                <w:b w:val="0"/>
                <w:sz w:val="22"/>
                <w:szCs w:val="22"/>
              </w:rPr>
              <w:t xml:space="preserve">Кузмищева Ирина Владимировна</w:t>
            </w:r>
            <w:r>
              <w:rPr>
                <w:b w:val="0"/>
                <w:sz w:val="22"/>
                <w:szCs w:val="22"/>
              </w:rPr>
              <w:t xml:space="preserve">:</w:t>
            </w:r>
            <w:r>
              <w:rPr>
                <w:b w:val="0"/>
                <w:i w:val="0"/>
                <w:iCs w:val="0"/>
                <w:color w:val="0c33f5"/>
                <w:sz w:val="22"/>
                <w:szCs w:val="22"/>
              </w:rPr>
              <w:t xml:space="preserve"> </w:t>
            </w:r>
            <w:r>
              <w:rPr>
                <w:color w:val="0c33f5"/>
                <w:sz w:val="22"/>
                <w:szCs w:val="22"/>
              </w:rPr>
            </w:r>
            <w:hyperlink r:id="rId14" w:tooltip="http://kuzmischeva-iv@dgk.ru" w:history="1">
              <w:r>
                <w:rPr>
                  <w:rStyle w:val="1170"/>
                  <w:color w:val="0c33f5"/>
                  <w:sz w:val="22"/>
                  <w:szCs w:val="22"/>
                </w:rPr>
                <w:t xml:space="preserve">kuzmischeva-iv@dgk.ru</w:t>
              </w:r>
            </w:hyperlink>
            <w:r>
              <w:rPr>
                <w:sz w:val="22"/>
                <w:szCs w:val="22"/>
              </w:rPr>
              <w:t xml:space="preserve"> </w:t>
            </w:r>
            <w:r>
              <w:rPr>
                <w:b w:val="0"/>
                <w:sz w:val="22"/>
                <w:szCs w:val="22"/>
              </w:rPr>
              <w:t xml:space="preserve"> </w:t>
            </w:r>
            <w:r>
              <w:rPr>
                <w:b w:val="0"/>
                <w:sz w:val="22"/>
                <w:szCs w:val="22"/>
              </w:rPr>
              <w:t xml:space="preserve">тел.</w:t>
            </w:r>
            <w:r>
              <w:rPr>
                <w:b w:val="0"/>
                <w:sz w:val="22"/>
                <w:szCs w:val="22"/>
              </w:rPr>
              <w:t xml:space="preserve">(4217) 23-34-64</w:t>
            </w:r>
            <w:r>
              <w:rPr>
                <w:b w:val="0"/>
                <w:sz w:val="22"/>
                <w:szCs w:val="22"/>
              </w:rPr>
            </w:r>
            <w:r/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16" w:name="_Ref125360954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16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116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Организатор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227" w:type="dxa"/>
            <w:textDirection w:val="lrTb"/>
            <w:noWrap w:val="false"/>
          </w:tcPr>
          <w:p>
            <w:pPr>
              <w:pStyle w:val="1202"/>
              <w:jc w:val="left"/>
              <w:spacing w:before="62" w:beforeAutospacing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 xml:space="preserve">Акционерное общество «Дальневосточная генерирующая компания» (далее - АО «ДГК»)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</w:r>
          </w:p>
          <w:p>
            <w:pPr>
              <w:pStyle w:val="1202"/>
              <w:jc w:val="left"/>
              <w:spacing w:before="62" w:beforeAutospacing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 xml:space="preserve">Место нахождения: 680000, г. Хабаровск, ул. Фрунзе, д. 49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</w:r>
          </w:p>
          <w:p>
            <w:pPr>
              <w:pStyle w:val="1202"/>
              <w:jc w:val="left"/>
              <w:spacing w:before="62" w:beforeAutospacing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 xml:space="preserve">Почтовый адрес: 680000, г. Хабаровск, ул. Фрунзе, д. 49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</w:r>
          </w:p>
          <w:p>
            <w:pPr>
              <w:pStyle w:val="1202"/>
              <w:jc w:val="left"/>
              <w:spacing w:before="62" w:beforeAutospacing="0"/>
              <w:rPr>
                <w:rFonts w:ascii="Times New Roman" w:hAnsi="Times New Roman" w:cs="Times New Roman"/>
                <w:color w:val="0c33f5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 </w:t>
            </w:r>
            <w:hyperlink r:id="rId15" w:tooltip="mailto:dgk@dgk.ru" w:history="1">
              <w:r>
                <w:rPr>
                  <w:rStyle w:val="1170"/>
                  <w:rFonts w:ascii="Times New Roman" w:hAnsi="Times New Roman" w:eastAsia="Times New Roman" w:cs="Times New Roman"/>
                  <w:b w:val="0"/>
                  <w:color w:val="0c33f5"/>
                  <w:sz w:val="22"/>
                  <w:szCs w:val="22"/>
                  <w:lang w:val="en-US"/>
                </w:rPr>
                <w:t xml:space="preserve">dgk</w:t>
              </w:r>
              <w:r>
                <w:rPr>
                  <w:rStyle w:val="1170"/>
                  <w:rFonts w:ascii="Times New Roman" w:hAnsi="Times New Roman" w:eastAsia="Times New Roman" w:cs="Times New Roman"/>
                  <w:b w:val="0"/>
                  <w:color w:val="0c33f5"/>
                  <w:sz w:val="22"/>
                  <w:szCs w:val="22"/>
                </w:rPr>
                <w:t xml:space="preserve">@</w:t>
              </w:r>
              <w:r>
                <w:rPr>
                  <w:rStyle w:val="1170"/>
                  <w:rFonts w:ascii="Times New Roman" w:hAnsi="Times New Roman" w:eastAsia="Times New Roman" w:cs="Times New Roman"/>
                  <w:b w:val="0"/>
                  <w:color w:val="0c33f5"/>
                  <w:sz w:val="22"/>
                  <w:szCs w:val="22"/>
                  <w:lang w:val="en-US"/>
                </w:rPr>
                <w:t xml:space="preserve">dgk</w:t>
              </w:r>
              <w:r>
                <w:rPr>
                  <w:rStyle w:val="1170"/>
                  <w:rFonts w:ascii="Times New Roman" w:hAnsi="Times New Roman" w:eastAsia="Times New Roman" w:cs="Times New Roman"/>
                  <w:b w:val="0"/>
                  <w:color w:val="0c33f5"/>
                  <w:sz w:val="22"/>
                  <w:szCs w:val="22"/>
                </w:rPr>
                <w:t xml:space="preserve">.</w:t>
              </w:r>
              <w:r>
                <w:rPr>
                  <w:rStyle w:val="1170"/>
                  <w:rFonts w:ascii="Times New Roman" w:hAnsi="Times New Roman" w:eastAsia="Times New Roman" w:cs="Times New Roman"/>
                  <w:b w:val="0"/>
                  <w:color w:val="0c33f5"/>
                  <w:sz w:val="22"/>
                  <w:szCs w:val="22"/>
                  <w:lang w:val="en-US"/>
                </w:rPr>
                <w:t xml:space="preserve">ru</w:t>
              </w:r>
            </w:hyperlink>
            <w:r>
              <w:rPr>
                <w:rFonts w:ascii="Times New Roman" w:hAnsi="Times New Roman" w:cs="Times New Roman"/>
                <w:color w:val="0c33f5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c33f5"/>
                <w:sz w:val="22"/>
                <w:szCs w:val="22"/>
              </w:rPr>
            </w:r>
          </w:p>
          <w:p>
            <w:pPr>
              <w:pStyle w:val="1202"/>
              <w:jc w:val="both"/>
              <w:spacing w:before="62" w:beforeAutospacing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 xml:space="preserve">Контактный телефон: +7(4212) 26-4</w:t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 xml:space="preserve">-3</w:t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 xml:space="preserve">0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17" w:name="_Ref125361238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17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116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Представитель Организатора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227" w:type="dxa"/>
            <w:textDirection w:val="lrTb"/>
            <w:noWrap w:val="false"/>
          </w:tcPr>
          <w:p>
            <w:pPr>
              <w:pStyle w:val="1003"/>
              <w:rPr>
                <w:b w:val="0"/>
                <w:szCs w:val="20"/>
              </w:rPr>
            </w:pPr>
            <w:r>
              <w:rPr>
                <w:b w:val="0"/>
                <w:sz w:val="22"/>
                <w:szCs w:val="22"/>
              </w:rPr>
              <w:t xml:space="preserve">Контактное лицо (Ф.И.О.): Евстратенко Анна Валериевна </w:t>
            </w:r>
            <w:r>
              <w:rPr>
                <w:b w:val="0"/>
                <w:szCs w:val="20"/>
              </w:rPr>
            </w:r>
            <w:r>
              <w:rPr>
                <w:b w:val="0"/>
                <w:szCs w:val="20"/>
              </w:rPr>
            </w:r>
          </w:p>
          <w:p>
            <w:pPr>
              <w:pStyle w:val="1003"/>
              <w:rPr>
                <w:b w:val="0"/>
                <w:szCs w:val="20"/>
              </w:rPr>
            </w:pPr>
            <w:r>
              <w:rPr>
                <w:b w:val="0"/>
                <w:sz w:val="22"/>
                <w:szCs w:val="22"/>
              </w:rPr>
              <w:t xml:space="preserve">Контактный телефон: +7(4212) 26-47-34</w:t>
            </w:r>
            <w:r>
              <w:rPr>
                <w:b w:val="0"/>
                <w:szCs w:val="20"/>
              </w:rPr>
            </w:r>
            <w:r>
              <w:rPr>
                <w:b w:val="0"/>
                <w:szCs w:val="20"/>
              </w:rPr>
            </w:r>
          </w:p>
          <w:p>
            <w:pPr>
              <w:pStyle w:val="1003"/>
              <w:rPr>
                <w:i w:val="0"/>
                <w:szCs w:val="20"/>
                <w:shd w:val="clear" w:color="auto" w:fill="auto"/>
              </w:rPr>
            </w:pPr>
            <w:r>
              <w:rPr>
                <w:b w:val="0"/>
                <w:sz w:val="22"/>
                <w:szCs w:val="22"/>
              </w:rPr>
              <w:t xml:space="preserve">Адрес электронной почты: </w:t>
            </w:r>
            <w:hyperlink r:id="rId16" w:tooltip="mailto:evstratenko-av@dgk.ru" w:history="1">
              <w:r>
                <w:rPr>
                  <w:rStyle w:val="1170"/>
                  <w:b w:val="0"/>
                  <w:color w:val="0c33f5"/>
                  <w:sz w:val="22"/>
                  <w:szCs w:val="22"/>
                  <w:lang w:val="en-US"/>
                </w:rPr>
                <w:t xml:space="preserve">evstratenko</w:t>
              </w:r>
              <w:r>
                <w:rPr>
                  <w:rStyle w:val="1170"/>
                  <w:b w:val="0"/>
                  <w:color w:val="0c33f5"/>
                  <w:sz w:val="22"/>
                  <w:szCs w:val="22"/>
                </w:rPr>
                <w:t xml:space="preserve">-</w:t>
              </w:r>
              <w:r>
                <w:rPr>
                  <w:rStyle w:val="1170"/>
                  <w:b w:val="0"/>
                  <w:color w:val="0c33f5"/>
                  <w:sz w:val="22"/>
                  <w:szCs w:val="22"/>
                  <w:lang w:val="en-US"/>
                </w:rPr>
                <w:t xml:space="preserve">av</w:t>
              </w:r>
              <w:r>
                <w:rPr>
                  <w:rStyle w:val="1170"/>
                  <w:b w:val="0"/>
                  <w:color w:val="0c33f5"/>
                  <w:sz w:val="22"/>
                  <w:szCs w:val="22"/>
                </w:rPr>
                <w:t xml:space="preserve">@</w:t>
              </w:r>
              <w:r>
                <w:rPr>
                  <w:rStyle w:val="1170"/>
                  <w:b w:val="0"/>
                  <w:color w:val="0c33f5"/>
                  <w:sz w:val="22"/>
                  <w:szCs w:val="22"/>
                  <w:lang w:val="en-US"/>
                </w:rPr>
                <w:t xml:space="preserve">dgk</w:t>
              </w:r>
              <w:r>
                <w:rPr>
                  <w:rStyle w:val="1170"/>
                  <w:b w:val="0"/>
                  <w:color w:val="0c33f5"/>
                  <w:sz w:val="22"/>
                  <w:szCs w:val="22"/>
                </w:rPr>
                <w:t xml:space="preserve">.</w:t>
              </w:r>
              <w:r>
                <w:rPr>
                  <w:rStyle w:val="1170"/>
                  <w:b w:val="0"/>
                  <w:color w:val="0c33f5"/>
                  <w:sz w:val="22"/>
                  <w:szCs w:val="22"/>
                  <w:lang w:val="en-US"/>
                </w:rPr>
                <w:t xml:space="preserve">ru</w:t>
              </w:r>
            </w:hyperlink>
            <w:r>
              <w:rPr>
                <w:i w:val="0"/>
                <w:szCs w:val="20"/>
                <w:shd w:val="clear" w:color="auto" w:fill="auto"/>
              </w:rPr>
            </w:r>
            <w:r>
              <w:rPr>
                <w:i w:val="0"/>
                <w:szCs w:val="20"/>
                <w:shd w:val="clear" w:color="auto" w:fill="auto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18" w:name="_Ref125362694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18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116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Официальный источник размещения информации о проведении закупки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/ 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рок, место и порядок предоставления Документации о закупке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227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Документация о закупке официально размещена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ЕИС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 доступна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на Официальном сайте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для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ознакомления любым заинтересованным лицам.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Официальным источником информации 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ходе проведения закупки является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Официальный сайт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zakupki.gov.ru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Документация о закупке доступна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без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взимания платы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в форме электронного документа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любое время с момента официального размещения Извещения.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Предоставление Документации 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закупке на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бумажном носителе не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предусмотрено.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19" w:name="_Ref125360963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19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116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Дата размещения Извещения о проведении закупки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227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«20»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марта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2026 г.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20" w:name="_Ref125362837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20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116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Начальная (максимальная) цена договора (цена лота)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227" w:type="dxa"/>
            <w:textDirection w:val="lrTb"/>
            <w:noWrap w:val="false"/>
          </w:tcPr>
          <w:p>
            <w:pPr>
              <w:ind w:left="0" w:firstLine="0"/>
              <w:spacing w:after="12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НМЦ составляет 5 523 456,61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руб., без учета НДС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</w:p>
          <w:p>
            <w:pPr>
              <w:ind w:left="0" w:firstLine="0"/>
              <w:jc w:val="both"/>
              <w:spacing w:after="12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Сведения о начальной (максимальной) цене единицы продукции, необходимые для применения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законодательства о национальном режиме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представлена в форме Коммерческого предложения (форма 3) (</w:t>
            </w:r>
            <w:hyperlink w:tooltip="#Прил04_ФормыЗаявки" w:anchor="Прил04_ФормыЗаявки" w:history="1">
              <w:r>
                <w:rPr>
                  <w:rStyle w:val="1184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sz w:val="22"/>
                  <w:szCs w:val="22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</w:p>
          <w:p>
            <w:pPr>
              <w:pStyle w:val="116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Обоснование НМЦ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представлено в </w:t>
            </w:r>
            <w:hyperlink w:tooltip="#Прил09_ОбоснованиеНМЦ" w:anchor="Прил09_ОбоснованиеНМЦ" w:history="1">
              <w:r>
                <w:rPr>
                  <w:rStyle w:val="1184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sz w:val="22"/>
                  <w:szCs w:val="22"/>
                </w:rPr>
                <w:t xml:space="preserve">Приложени</w:t>
              </w:r>
              <w:r>
                <w:rPr>
                  <w:rStyle w:val="1184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sz w:val="22"/>
                  <w:szCs w:val="22"/>
                </w:rPr>
                <w:t xml:space="preserve">и</w:t>
              </w:r>
              <w:r>
                <w:rPr>
                  <w:rStyle w:val="1184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sz w:val="22"/>
                  <w:szCs w:val="22"/>
                </w:rPr>
                <w:t xml:space="preserve"> №</w:t>
              </w:r>
              <w:r>
                <w:rPr>
                  <w:rStyle w:val="1184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sz w:val="22"/>
                  <w:szCs w:val="22"/>
                </w:rPr>
                <w:t xml:space="preserve"> </w:t>
              </w:r>
              <w:r>
                <w:rPr>
                  <w:rStyle w:val="1184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sz w:val="22"/>
                  <w:szCs w:val="22"/>
                </w:rPr>
                <w:t xml:space="preserve">9</w:t>
              </w:r>
            </w:hyperlink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21" w:name="_Ref125363076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21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116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Обеспечение заявки на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участие в закупке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227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требуется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cs="Times New Roman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14:ligatures w14:val="none"/>
              </w:rPr>
            </w:r>
          </w:p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Внимание!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Для того, чтобы иметь возможность подать заявку на участие в закупке, в соответствии с Регламентом ЭП на счете Участника, открытом ему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ператором ЭП, должна быть внесена сумма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размере не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менее установленной платы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соответствии 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тарифами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ператора ЭП.</w:t>
            </w:r>
            <w:r>
              <w:rPr>
                <w:rFonts w:ascii="Times New Roman" w:hAnsi="Times New Roman" w:cs="Times New Roman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14:ligatures w14:val="none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22" w:name="_Ref125362995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22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116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Требования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описанию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продукции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227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огласие (декларация) Участника на поставку продукции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установленной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форме Технического предложения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(форма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(</w:t>
            </w:r>
            <w:hyperlink w:tooltip="#Прил04_ФормыЗаявки" w:anchor="Прил04_ФормыЗаявки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</w:t>
              </w:r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4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условиях, указанных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Документации о закупке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и не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подлежащих изменению по результатам проведения закупки, без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направления Участником собственных подробных предложений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116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Применение законодательства 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национальном режиме: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227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eastAsia="Times New Roman" w:cs="Times New Roman"/>
                <w:bCs w:val="0"/>
                <w:i w:val="0"/>
                <w:i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Национальный режим предоставляется</w:t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i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iCs/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23" w:name="_Ref125475086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23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116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Место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 порядок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подачи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заявок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227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Заявки подаются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посредством функционала ЭП,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адресу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ЭП, указанному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пункте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_Ref125360764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1.2.5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Заявка должна состоять из двух частей и ценового предложения.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24" w:name="_Ref125360779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24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116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Дата начала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дата и время окончания срока подачи заявок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227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Дата начала подачи заявок: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«20»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марта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2025г.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Дата и время окончания срока подачи заявок: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«01»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апреля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2026 г. в 15 ч. 00 мин.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(по местному времени Организатора).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116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Срок предоставления Участникам разъяснений Документации 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закупке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227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Дата и время окончания срока предоставления разъяснений: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«01» апреля 2026 г. в 15 ч. 00 мин.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(по местному времени Организатора).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Организатор вправе не предоставлять разъяснение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сли запрос от Участника поступил позднее чем за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3 (три) рабочих дня до даты окончания срока подачи заявок, установленной в пункте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_Ref125360779 \r \h  \* MERGEFORMAT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1.2.17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25" w:name="_Ref125476197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25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116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Место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открытия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доступа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к заявкам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227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Открытие доступа к заявкам осуществляется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автоматически на ЭП, расположенной по адресу согласно пункту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_Ref125360764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1.2.5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26" w:name="_Ref125362733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26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116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Дата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окончания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рассмотрения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первых частей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заявок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227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«08» апреля 2026 г.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60"/>
              <w:tabs>
                <w:tab w:val="clear" w:pos="1134" w:leader="none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14:ligatures w14:val="none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116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Срок направления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ператором ЭП вторых частей заявок и ценовых предложений в адрес Организатора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227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Не позднее 1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(одного) рабочего дня, следующего за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днем официального размещения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 Официальном сайте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ЕИС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протокола рассмотрения первых частей заявок.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27" w:name="_Ref132898515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27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116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Дата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окончания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рассмотрения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вторых частей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заявок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и ценовых предложений: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227" w:type="dxa"/>
            <w:textDirection w:val="lrTb"/>
            <w:noWrap w:val="false"/>
          </w:tcPr>
          <w:p>
            <w:pPr>
              <w:pStyle w:val="1160"/>
              <w:tabs>
                <w:tab w:val="clear" w:pos="1134" w:leader="none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«20» апреля 2026 г.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14:ligatures w14:val="none"/>
              </w:rPr>
            </w:r>
          </w:p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28" w:name="_Ref125362757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28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116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Дата подведения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итогов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закупки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227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«20» апреля 2026 г.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60"/>
              <w:tabs>
                <w:tab w:val="clear" w:pos="1134" w:leader="none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14:ligatures w14:val="none"/>
              </w:rPr>
            </w:r>
          </w:p>
          <w:p>
            <w:pPr>
              <w:pStyle w:val="1160"/>
              <w:rPr>
                <w:rStyle w:val="1165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1165"/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Style w:val="1165"/>
                <w:rFonts w:ascii="Times New Roman" w:hAnsi="Times New Roman" w:cs="Times New Roman"/>
                <w:sz w:val="22"/>
                <w:szCs w:val="22"/>
              </w:rPr>
            </w:r>
            <w:r>
              <w:rPr>
                <w:rStyle w:val="1165"/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29" w:name="_Ref125366047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29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116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Преференция продукции, изготовленной 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использованием российского алюминия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алюминиевых полуфабрикатов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227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Не предоставляется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30" w:name="_Ref125361769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30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116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Рассмотрение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оценка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и сопоставление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заявок Участников 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учетом привлекаемых субподрядчиков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227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Не предусмотрено.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9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116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Порядок подведения итогов закупки: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227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Победителем закупки признается Участник, заявка которого соответствует требованиям Документации 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закупке и содержит лучшие условия исполнения Договора на основании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установленных критериев оценки согласно Документации о закупке.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31" w:name="_Ref125366606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31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116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Количество победителей закупки (в рамках одного лота)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227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Один победитель.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32" w:name="_Ref125366813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32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116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Место подачи документов в отношении цепочки собственников, включая конечных бенефициаров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227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Почтовый адрес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681034, Хабаровский край, г. Комсомольск-на Амуре, Северное шоссе, 151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/>
          </w:p>
          <w:p>
            <w:pPr>
              <w:ind w:firstLine="0"/>
              <w:spacing w:line="240" w:lineRule="auto"/>
              <w:tabs>
                <w:tab w:val="center" w:pos="2089" w:leader="none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Контактное лицо для приема документов (Ф.И.О.):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 </w:t>
            </w:r>
            <w:r>
              <w:rPr>
                <w:b w:val="0"/>
                <w:sz w:val="22"/>
                <w:szCs w:val="22"/>
              </w:rPr>
              <w:t xml:space="preserve"> </w:t>
            </w:r>
            <w:r>
              <w:rPr>
                <w:b w:val="0"/>
                <w:sz w:val="22"/>
                <w:szCs w:val="22"/>
              </w:rPr>
            </w:r>
            <w:r>
              <w:rPr>
                <w:b w:val="0"/>
                <w:sz w:val="22"/>
                <w:szCs w:val="22"/>
              </w:rPr>
            </w:r>
            <w:r>
              <w:rPr>
                <w:b w:val="0"/>
                <w:sz w:val="22"/>
                <w:szCs w:val="22"/>
              </w:rPr>
              <w:t xml:space="preserve">Кузмищева Ирина Владимировна</w:t>
            </w:r>
            <w:r>
              <w:rPr>
                <w:b w:val="0"/>
                <w:sz w:val="22"/>
                <w:szCs w:val="22"/>
              </w:rPr>
              <w:t xml:space="preserve">:</w:t>
            </w:r>
            <w:r>
              <w:rPr>
                <w:b w:val="0"/>
                <w:i w:val="0"/>
                <w:iCs w:val="0"/>
                <w:color w:val="0c33f5"/>
                <w:sz w:val="22"/>
                <w:szCs w:val="22"/>
              </w:rPr>
              <w:t xml:space="preserve"> </w:t>
            </w:r>
            <w:r>
              <w:rPr>
                <w:color w:val="0c33f5"/>
                <w:sz w:val="22"/>
                <w:szCs w:val="22"/>
              </w:rPr>
            </w:r>
            <w:hyperlink r:id="rId17" w:tooltip="http://kuzmischeva-iv@dgk.ru" w:history="1">
              <w:r>
                <w:rPr>
                  <w:rStyle w:val="1170"/>
                  <w:color w:val="0c33f5"/>
                  <w:sz w:val="22"/>
                  <w:szCs w:val="22"/>
                </w:rPr>
                <w:t xml:space="preserve">kuzmischeva-iv@dgk.ru</w:t>
              </w:r>
            </w:hyperlink>
            <w:r>
              <w:rPr>
                <w:sz w:val="22"/>
                <w:szCs w:val="22"/>
              </w:rPr>
              <w:t xml:space="preserve"> </w:t>
            </w:r>
            <w:r>
              <w:rPr>
                <w:b w:val="0"/>
                <w:sz w:val="22"/>
                <w:szCs w:val="22"/>
              </w:rPr>
              <w:t xml:space="preserve"> </w:t>
            </w:r>
            <w:r>
              <w:rPr>
                <w:b w:val="0"/>
                <w:sz w:val="22"/>
                <w:szCs w:val="22"/>
              </w:rPr>
              <w:t xml:space="preserve">тел.</w:t>
            </w:r>
            <w:r>
              <w:rPr>
                <w:b w:val="0"/>
                <w:sz w:val="22"/>
                <w:szCs w:val="22"/>
              </w:rPr>
              <w:t xml:space="preserve">(4217) 23-34-64</w:t>
            </w:r>
            <w:r/>
            <w:r>
              <w:rPr>
                <w:b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33" w:name="_Ref125368490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33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116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Некритичные пункты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роекта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оговора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227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Отсутствуют.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Внимание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! Корректировка пунктов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роекта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оговора, не указанных в настоящем разделе, не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допускается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. Договор заключается в редакции </w:t>
            </w:r>
            <w:hyperlink w:tooltip="#Прил02_ПроектДоговора" w:anchor="Прил02_ПроектДоговора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Приложения № 2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15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116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Обеспечение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исполнения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Договора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227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none"/>
              </w:rPr>
              <w:t xml:space="preserve">Требуется</w:t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  <w:t xml:space="preserve">Обеспечение надлежащего исполнение обязательств по договору:</w:t>
            </w:r>
            <w:r>
              <w:rPr>
                <w:sz w:val="22"/>
                <w:szCs w:val="22"/>
              </w:rPr>
            </w:r>
          </w:p>
          <w:p>
            <w:r>
              <w:rPr>
                <w:sz w:val="22"/>
                <w:szCs w:val="22"/>
              </w:rPr>
              <w:t xml:space="preserve">–</w:t>
              <w:tab/>
              <w:t xml:space="preserve">размер обеспечения: Независимая гарантия по Договору в размере не менее 100 (ста) процентов от размера уплачиваемой по Договору предварительной оплаты (аванса). В случае отказа Подрядчика от выплаты аванса, о чем он должен письменно уведомить Заказчика, П</w:t>
            </w:r>
            <w:r>
              <w:rPr>
                <w:sz w:val="22"/>
                <w:szCs w:val="22"/>
              </w:rPr>
              <w:t xml:space="preserve">одрядчик предоставляет Заказчику Независимую гарантию в размере 5 (Пять) процентов от Цены Договора.</w:t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  <w:t xml:space="preserve">–</w:t>
              <w:tab/>
              <w:t xml:space="preserve">валюта обеспечения: в валюте Договора.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Иные требования к обеспечению исполнения Договора: приведены в Проекте договора (Приложение №2 к Документации о закупке).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</w:tbl>
    <w:p>
      <w:pPr>
        <w:pStyle w:val="115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363" w:name="_Toc6"/>
      <w:r>
        <w:rPr>
          <w:rFonts w:ascii="Times New Roman" w:hAnsi="Times New Roman" w:eastAsia="Times New Roman" w:cs="Times New Roman"/>
          <w:sz w:val="22"/>
          <w:szCs w:val="22"/>
        </w:rPr>
      </w:r>
      <w:bookmarkStart w:id="35" w:name="_Ref125360073"/>
      <w:r>
        <w:rPr>
          <w:rFonts w:ascii="Times New Roman" w:hAnsi="Times New Roman" w:eastAsia="Times New Roman" w:cs="Times New Roman"/>
          <w:sz w:val="22"/>
          <w:szCs w:val="22"/>
        </w:rPr>
      </w:r>
      <w:bookmarkStart w:id="36" w:name="_Ref125360337"/>
      <w:r>
        <w:rPr>
          <w:rFonts w:ascii="Times New Roman" w:hAnsi="Times New Roman" w:eastAsia="Times New Roman" w:cs="Times New Roman"/>
          <w:sz w:val="22"/>
          <w:szCs w:val="22"/>
        </w:rPr>
        <w:t xml:space="preserve">Общие положения</w:t>
      </w:r>
      <w:bookmarkEnd w:id="35"/>
      <w:r>
        <w:rPr>
          <w:rFonts w:ascii="Times New Roman" w:hAnsi="Times New Roman" w:eastAsia="Times New Roman" w:cs="Times New Roman"/>
          <w:sz w:val="22"/>
          <w:szCs w:val="22"/>
        </w:rPr>
      </w:r>
      <w:bookmarkEnd w:id="36"/>
      <w:r>
        <w:rPr>
          <w:rFonts w:ascii="Times New Roman" w:hAnsi="Times New Roman" w:eastAsia="Times New Roman" w:cs="Times New Roman"/>
          <w:sz w:val="22"/>
          <w:szCs w:val="22"/>
        </w:rPr>
      </w:r>
      <w:bookmarkEnd w:id="363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364" w:name="_Toc7"/>
      <w:r>
        <w:rPr>
          <w:rFonts w:ascii="Times New Roman" w:hAnsi="Times New Roman" w:eastAsia="Times New Roman" w:cs="Times New Roman"/>
          <w:sz w:val="22"/>
          <w:szCs w:val="22"/>
        </w:rPr>
        <w:t xml:space="preserve">Общие сведения о закупке</w:t>
      </w:r>
      <w:bookmarkEnd w:id="364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Организатор официально размещенным Извещением приглашает лиц, указанных в подразделе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к участию в закупке на право заключения договора, предмет которого указан в том же подразделе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Требования к Участникам, а также к документам, подтверждающим соответствие установленным требованиям, приведены в разделе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_Ref125361210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3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Документации о закупке.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Требования к поставляемой продукции, включая срок, объем и место поставки продукции, изложены в </w:t>
      </w:r>
      <w:hyperlink w:tooltip="#Прил01_ТехТребования" w:anchor="Прил01_ТехТребования" w:history="1"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Технических требованиях (Приложение № 1)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hyperlink w:tooltip="#Прил02_ПроектДоговора" w:anchor="Прил02_ПроектДоговора" w:history="1"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Проект договора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, который планируется заключить по результатам закупки, в том числе содержащий условия по форме, срокам и порядку оплаты, приведен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hyperlink w:tooltip="#Прил02_ПроектДоговора" w:anchor="Прил02_ПроектДоговора" w:history="1"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Приложении № 2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Подробная информация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порядке проведения закупки и участия в ней, а также о порядке заключения Договора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приведены в разделах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_Ref125361211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_Ref126142429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5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образцы основных форм документов, включаемых в заявку или предоставляемых Победителем, приведены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Приложениях </w:t>
      </w:r>
      <w:hyperlink w:tooltip="#Прил04_ФормыЗаявки" w:anchor="Прил04_ФормыЗаявки" w:history="1"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№ 4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, </w:t>
      </w:r>
      <w:hyperlink w:tooltip="#Прил05_ФормыПобедителя" w:anchor="Прил05_ФормыПобедителя" w:history="1"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№</w:t>
        </w:r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 </w:t>
        </w:r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5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365" w:name="_Toc8"/>
      <w:r>
        <w:rPr>
          <w:rFonts w:ascii="Times New Roman" w:hAnsi="Times New Roman" w:eastAsia="Times New Roman" w:cs="Times New Roman"/>
          <w:sz w:val="22"/>
          <w:szCs w:val="22"/>
        </w:rPr>
        <w:t xml:space="preserve">Правовой статус документов</w:t>
      </w:r>
      <w:bookmarkEnd w:id="365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Документация о закупке вместе с Извещением, являющимся ее неотъемлемой частью, являются публичной офертой Организатора в соответствии со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статьей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437 ГК РФ и должны рассматриваться Участниками в соответствии с этим до подведения итогов закупки. При наличии противоречий между положениями Извещения и Документации о закупке применяются положения Извещения.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Заявка Участника имеет правовой статус оферты и будет рассматриваться Организатором в течение указанного в ней срока ее действия.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40" w:name="_Ref125366985"/>
      <w:r>
        <w:rPr>
          <w:rFonts w:ascii="Times New Roman" w:hAnsi="Times New Roman" w:eastAsia="Times New Roman" w:cs="Times New Roman"/>
          <w:sz w:val="22"/>
          <w:szCs w:val="22"/>
        </w:rPr>
        <w:t xml:space="preserve">При определении условий Договора по результатам закупки использу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тся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иерархия документов, установленная в пункте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_Ref132288402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5.2.8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bookmarkEnd w:id="40"/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Заключенный по результатам закупки Договор, в том числе, фиксирует все достигнутые сторонами договоренности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Во всем, что не урегулировано Извещением и Документацией о закупке, стороны руководствуются Законом 223-ФЗ и Положением о закупке (в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редакции, действующей на дату официального размещения Извещения).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сли в отношении сторон Договора, заключаемого по результатам закупки, действуют также специальные нормативные правовые акты, зарегистрированные в установленном порядке, Документация о закупке и заявка Победителя будут считаться приоритетными по отношению 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диспозитивным нормам указанных документов.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Иные документы Организатора и Участников не определяют права и обязанности сторон в связи с данной закупкой.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Любые уведомления, письма, предложения, иная переписка и действия председателя, заместителя председателя, членов, секретаря Закупочной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комиссии и иных работников Заказчика и Организатора относительно условий, сроков проведения, предмета настоящей закупки (за исключением информации, представляемой Участникам в соответствии с Положением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закупке)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носят исключительно информационный характер и не являются офертой либо акцептом Организатора или Заказчика.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366" w:name="_Toc9"/>
      <w:r>
        <w:rPr>
          <w:rFonts w:ascii="Times New Roman" w:hAnsi="Times New Roman" w:eastAsia="Times New Roman" w:cs="Times New Roman"/>
          <w:sz w:val="22"/>
          <w:szCs w:val="22"/>
        </w:rPr>
      </w:r>
      <w:bookmarkStart w:id="41" w:name="_Ref125363536"/>
      <w:r>
        <w:rPr>
          <w:rFonts w:ascii="Times New Roman" w:hAnsi="Times New Roman" w:eastAsia="Times New Roman" w:cs="Times New Roman"/>
          <w:sz w:val="22"/>
          <w:szCs w:val="22"/>
        </w:rPr>
        <w:t xml:space="preserve">Обжалование</w:t>
      </w:r>
      <w:bookmarkEnd w:id="41"/>
      <w:r>
        <w:rPr>
          <w:rFonts w:ascii="Times New Roman" w:hAnsi="Times New Roman" w:eastAsia="Times New Roman" w:cs="Times New Roman"/>
          <w:sz w:val="22"/>
          <w:szCs w:val="22"/>
        </w:rPr>
      </w:r>
      <w:bookmarkEnd w:id="366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Любой Участник, который заявляет, что понес или может понести убытки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результате нарушения его прав Заказчиком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или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Организатором, отдельными членами Закупочной комиссии или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ператором ЭП, имеет право подать заявление о рассмотрении разногласий, связанных с проведением закуп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До заключения Договора с Победителем заявления о рассмотрении разногласий направляются Участниками через круглосуточную «Линию доверия», посредством заполнения специальной формы на корпоративном сайте ПАО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«РусГидро» (вкладка «Линия доверия»), или сообщения информации 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указанному на корпоративном сайте телефону. На время рассмотрения разногласий процедура проведения закупки приостанавливается до вынесения решения, если тому нет явных препятствий юридического или экономического характера.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Если разногласия не разрешены по взаимному согласию представившего их Участника и Заказчика,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может быть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принят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одно из следующих решений: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обязать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Заказчика, Организатора,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членов Закупочной комиссии, совершивших неправомерные действия, применивших неправомерные процедуры либо принявших незаконное решение, совершить действия, соответствующие законодательству и Положению о закупке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(в том числе, но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ограничиваясь, отменить составленные в ходе закупки протоколы, повторно рассмотреть заявки Участников)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признать заявление Участника необоснованным.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Участник вправе обжаловать действия (бездействие) Заказчика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или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Организатора, Закупочной комиссии,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ператора ЭП при проведении настоящей закупки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антимонопольном органе в порядке, установленном законодательством.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сли обжалуемые действия (бездействие) совершены после окончания установленного срока подачи заявок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подраздел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), обжалование таких действий (бездействия) может осуществляться только Участником, подавшим заявку на участие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такой закупке.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Все споры и разногласия, возникающие в связи с проведением закупки, касающиеся исполнения Организатором, Заказчиком и Участниками своих обязательств, в том числе не урегулированные путем обращения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на «Линию доверия»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или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антимонопольные органы, подлежат разрешению следующим образом: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по закупкам, проводимым закупочными комиссиями 1-го уровня –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Арбитражном суде по месту нахождения Заказчика (либо соответствующего филиала Заказчика, для нужд которого проводится настоящая закупка);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по закупкам, проводимым закупочными комиссиями 2-го уровня, специальными закупочными комиссиями, закупочными комиссиями исполнительного аппарата ПАО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«РусГидро» – в Арбитражном суде г.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Москвы.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left="113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З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акупочн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комисси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я определяется в соответствии с Положением о закупке.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367" w:name="_Toc10"/>
      <w:r>
        <w:rPr>
          <w:rFonts w:ascii="Times New Roman" w:hAnsi="Times New Roman" w:eastAsia="Times New Roman" w:cs="Times New Roman"/>
          <w:sz w:val="22"/>
          <w:szCs w:val="22"/>
        </w:rPr>
        <w:t xml:space="preserve">Особые положения при проведении закупки с использованием ЭП</w:t>
      </w:r>
      <w:bookmarkEnd w:id="367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Наименование ЭП, посредством которой проводится закупка, указано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подразделе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 До подачи заявки Участник обязан ознакомиться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Регламентом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ЭП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опубликованными на сайте соответствующей ЭП.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Для участия в закупке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Участник должен пройти процедуру регистрации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Едином реестре участников закупок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ЕИС в порядке, предусмотренным Законом 44-ФЗ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т.е. быть зарегистрированным на ЭП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 Регистрация осуществляется Федеральным Казначейством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и Организатор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(Заказчик)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не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несет ответственности за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результат ее прохождения Участником, в том числе понесенные им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затраты.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Правила проведения закупки в том числе определяются Регламентом ЭП.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Обмен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всей информаци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связанной с проведением закупки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между Участником, Организатором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(Заказчиком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 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ператором ЭП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осуществляется на ЭП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форме электронных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документов, подписанных усиленной квалифицированной электронной подписью уполномоченного лица.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Стоимость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заявки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(цена Договора)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 иные условия закупки, указанные Участниками в специальных электронных формах на ЭП, имеют преимущество перед сведениями, указанными в загруженных на ЭП электронных документах.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368" w:name="_Toc11"/>
      <w:r>
        <w:rPr>
          <w:rFonts w:ascii="Times New Roman" w:hAnsi="Times New Roman" w:eastAsia="Times New Roman" w:cs="Times New Roman"/>
          <w:sz w:val="22"/>
          <w:szCs w:val="22"/>
        </w:rPr>
        <w:t xml:space="preserve">Прочие положения</w:t>
      </w:r>
      <w:bookmarkEnd w:id="368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Заказчик, Организатор 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ператор ЭП обеспечивают конфиденциальн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ость относительно всех полученных от Участников сведений, в том числе содержащихся в заявках. Предоставление этой информации другим Участникам или третьим лицам возможно только в случаях, прямо предусмотренных законодательством или Документацией о закупке.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Организатор (по решению Закупочной комиссии), вправе отклонить заявку, если будет установлено, что Участник каким-либо способом повлиял на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рассмотрение заявок, их оценку и сопоставление, подведение итогов закупки (определение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Победителя), в том числе прямо или косвенно дал, согласился дать или предложил работнику Организатора, Заказчика, члену Закупочной комиссии или эксперту, осуществлявшему экспертизу заявок, вознаграждение в любой форме: работу, услугу, какую-либо ценность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качестве стимула, 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(или) оказал каким-либо иным образом давление на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указанных лиц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С целью предупреждения и противодействия противоправным действиям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Группе РусГидро организована круглосуточная «Линия доверия», обратиться на которую можно по телефону +7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(495)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785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09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37 (круглосуточно), или заполнив соответствующую форму на корпоративном сайте ПАО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«РусГидро», вкладка «Линия доверия».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369" w:name="_Toc12"/>
      <w:r>
        <w:rPr>
          <w:rFonts w:ascii="Times New Roman" w:hAnsi="Times New Roman" w:eastAsia="Times New Roman" w:cs="Times New Roman"/>
          <w:sz w:val="22"/>
          <w:szCs w:val="22"/>
        </w:rPr>
      </w:r>
      <w:bookmarkStart w:id="45" w:name="_Ref125361210"/>
      <w:r>
        <w:rPr>
          <w:rFonts w:ascii="Times New Roman" w:hAnsi="Times New Roman" w:eastAsia="Times New Roman" w:cs="Times New Roman"/>
          <w:sz w:val="22"/>
          <w:szCs w:val="22"/>
        </w:rPr>
        <w:t xml:space="preserve">Требования к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частникам</w:t>
      </w:r>
      <w:bookmarkEnd w:id="45"/>
      <w:r>
        <w:rPr>
          <w:rFonts w:ascii="Times New Roman" w:hAnsi="Times New Roman" w:eastAsia="Times New Roman" w:cs="Times New Roman"/>
          <w:sz w:val="22"/>
          <w:szCs w:val="22"/>
        </w:rPr>
      </w:r>
      <w:bookmarkEnd w:id="369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370" w:name="_Toc13"/>
      <w:r>
        <w:rPr>
          <w:rFonts w:ascii="Times New Roman" w:hAnsi="Times New Roman" w:eastAsia="Times New Roman" w:cs="Times New Roman"/>
          <w:sz w:val="22"/>
          <w:szCs w:val="22"/>
        </w:rPr>
      </w:r>
      <w:bookmarkStart w:id="47" w:name="_Ref127524530"/>
      <w:r>
        <w:rPr>
          <w:rFonts w:ascii="Times New Roman" w:hAnsi="Times New Roman" w:eastAsia="Times New Roman" w:cs="Times New Roman"/>
          <w:sz w:val="22"/>
          <w:szCs w:val="22"/>
        </w:rPr>
        <w:t xml:space="preserve">Общие требования к Участникам</w:t>
      </w:r>
      <w:bookmarkEnd w:id="47"/>
      <w:r>
        <w:rPr>
          <w:rFonts w:ascii="Times New Roman" w:hAnsi="Times New Roman" w:eastAsia="Times New Roman" w:cs="Times New Roman"/>
          <w:sz w:val="22"/>
          <w:szCs w:val="22"/>
        </w:rPr>
      </w:r>
      <w:bookmarkEnd w:id="370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49" w:name="_Ref125361514"/>
      <w:r>
        <w:rPr>
          <w:rFonts w:ascii="Times New Roman" w:hAnsi="Times New Roman" w:eastAsia="Times New Roman" w:cs="Times New Roman"/>
          <w:sz w:val="22"/>
          <w:szCs w:val="22"/>
        </w:rPr>
        <w:t xml:space="preserve">Из лиц, указанных в подразделе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участвовать в закупке может любое юридическое / физическое лицо (в том числе индивидуальный предприниматель), или несколько юридических / физических лиц, в том числе несколько индивидуальных предпринимателей, выступающих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на стороне одного участника закупки, независимо от их организационно-правовой формы, формы собственности, места нахождения и места происхождения капитала. Исключение составляют юридические / физические лица, являющиеся иностранным агентом в соответствии с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Законом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255-ФЗ – они не могут быть Участником, в том числе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составе группы лиц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bookmarkEnd w:id="49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Однако, чтобы претендовать на победу в закупке Участник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целом должен отвечать требованиям, установленным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Документации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закупке.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Требования к Участникам установлены с учетом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предмета договора,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hyperlink w:tooltip="#Прил01_ТехТребования" w:anchor="Прил01_ТехТребования" w:history="1"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Технических требований (Приложение № 1)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 и </w:t>
      </w:r>
      <w:hyperlink w:tooltip="#Прил02_ПроектДоговора" w:anchor="Прил02_ПроектДоговора" w:history="1"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Проекта договора (Приложение № 2)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Установлены следующие 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ребования 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Участникам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которые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приведены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hyperlink w:tooltip="#Прил03_ТребованияУчастникам" w:anchor="Прил03_ТребованияУчастникам" w:history="1"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Приложении № 3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обязательные требования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подраздел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_Ref125361435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8.2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Участник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должны им соответствовать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специальные требования 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Участники должны им соответствовать, если они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установлены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(подраздел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_Ref125709153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8.3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рамках требований к Участникам могут быть установлены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дополнительные требования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к Генеральным подрядчикам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(подраздел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_Ref125361702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sz w:val="22"/>
          <w:szCs w:val="22"/>
        </w:rPr>
        <w:t xml:space="preserve">3.2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Для подтверждения соответствия установленным требованиям Участник обязан приложить в составе заявки документы, перечисленные в </w:t>
      </w:r>
      <w:hyperlink w:tooltip="#Прил03_ТребованияУчастникам" w:anchor="Прил03_ТребованияУчастникам" w:history="1"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Требованиях к Участникам (Приложение № 3)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, </w:t>
      </w:r>
      <w:bookmarkStart w:id="52" w:name="_Hlk132706049"/>
      <w:r>
        <w:rPr>
          <w:rFonts w:ascii="Times New Roman" w:hAnsi="Times New Roman" w:eastAsia="Times New Roman" w:cs="Times New Roman"/>
          <w:sz w:val="22"/>
          <w:szCs w:val="22"/>
        </w:rPr>
        <w:t xml:space="preserve">если иное не установлено в Документации о закупке</w:t>
      </w:r>
      <w:bookmarkEnd w:id="52"/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372" w:name="_Toc15"/>
      <w:r>
        <w:rPr>
          <w:rFonts w:ascii="Times New Roman" w:hAnsi="Times New Roman" w:eastAsia="Times New Roman" w:cs="Times New Roman"/>
          <w:sz w:val="22"/>
          <w:szCs w:val="22"/>
        </w:rPr>
      </w:r>
      <w:bookmarkStart w:id="64" w:name="_Ref125361702"/>
      <w:r>
        <w:rPr>
          <w:rFonts w:ascii="Times New Roman" w:hAnsi="Times New Roman" w:eastAsia="Times New Roman" w:cs="Times New Roman"/>
          <w:sz w:val="22"/>
          <w:szCs w:val="22"/>
        </w:rPr>
        <w:t xml:space="preserve">Генеральные подрядчики</w:t>
      </w:r>
      <w:bookmarkEnd w:id="64"/>
      <w:r>
        <w:rPr>
          <w:rFonts w:ascii="Times New Roman" w:hAnsi="Times New Roman" w:eastAsia="Times New Roman" w:cs="Times New Roman"/>
          <w:sz w:val="22"/>
          <w:szCs w:val="22"/>
        </w:rPr>
      </w:r>
      <w:bookmarkEnd w:id="372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Нормы настоящего подраздела применяются только, если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подразделом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предусмотрены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рассмотрение и оценка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заявок Участников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учетом привлекаемых субподрядчиков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Если заявка подается Участником от лица Генерального подрядчика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дополнительно должны быть выполнены требования настоящего подраздела, 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также требования 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дополнительным документам, предоставляемым таким Участником в составе заявки, установленные в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подразделе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_Ref125709777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sz w:val="22"/>
          <w:szCs w:val="22"/>
        </w:rPr>
        <w:t xml:space="preserve">8.4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Требований к Участникам (Приложение № 3)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Генеральный подрядчик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должен самостоятельно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отвечать всем обязательным требованиям 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Участникам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(подраздел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_Ref125361435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8.2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рамках специальных требований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(подраздел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_Ref125709153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8.3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касающихся членства в саморегулируемых организациях (в случае их установления), должен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иметь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соответствующ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членство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 учетом требований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законодательств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такому членству;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рамках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остальны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специальны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требовани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й (в случае их установления) должен отвечать им только в части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объема поставки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продукции, который ему предполагается поручить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в соответствии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 представленным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Техническом предложении Планом распределения объемов поставки продукции (форма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 (</w:t>
      </w:r>
      <w:hyperlink w:tooltip="#Прил04_ФормыЗаявки" w:anchor="Прил04_ФормыЗаявки" w:history="1"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Приложение № 4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66" w:name="_Ref125368863"/>
      <w:r>
        <w:rPr>
          <w:rFonts w:ascii="Times New Roman" w:hAnsi="Times New Roman" w:eastAsia="Times New Roman" w:cs="Times New Roman"/>
          <w:sz w:val="22"/>
          <w:szCs w:val="22"/>
        </w:rPr>
        <w:t xml:space="preserve">Каждый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субподрядчик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из привлекаемы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Генеральным подрядчиком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должен отвечать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обязательным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требованиям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(подраздел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_Ref125361435 \r \h </w:instrText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8.2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специальным требованиям (подраздел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_Ref125709153 \r \h </w:instrText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8.3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(в случае их установления),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исключением требования о наличии членства в саморегулируемых организациях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left="113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При этом соответств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овать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специальным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требованиям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субподрядчик должен только в части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объема поставки продукции, который ему </w:t>
      </w:r>
      <w:bookmarkEnd w:id="66"/>
      <w:r>
        <w:rPr>
          <w:rFonts w:ascii="Times New Roman" w:hAnsi="Times New Roman" w:eastAsia="Times New Roman" w:cs="Times New Roman"/>
          <w:sz w:val="22"/>
          <w:szCs w:val="22"/>
        </w:rPr>
        <w:t xml:space="preserve">поруч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ен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в соответствии с представленным в Техническом предложении Планом распределения объемов поставки продукции (форма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 (</w:t>
      </w:r>
      <w:hyperlink w:tooltip="#Прил04_ФормыЗаявки" w:anchor="Прил04_ФормыЗаявки" w:history="1"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Приложение № 4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При оценке и сопоставлении заявки Генерального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подрядчика 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квалификационным критериям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если они установлены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</w:t>
      </w:r>
      <w:hyperlink w:tooltip="#Прил08_ПорядокОценки" w:anchor="Прил08_ПорядокОценки" w:history="1"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Порядке и критериях оценки и сопоставления заявок (Приложение № </w:t>
        </w:r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8</w:t>
        </w:r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)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количественные параметры деятельности Генерального подрядчика и субподрядчиков суммируются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наличие требуемого опыта, обеспеченность материально-техническими ресурсами и кадровыми ресурсами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67" w:name="_Ref125361799"/>
      <w:r>
        <w:rPr>
          <w:rFonts w:ascii="Times New Roman" w:hAnsi="Times New Roman" w:eastAsia="Times New Roman" w:cs="Times New Roman"/>
          <w:sz w:val="22"/>
          <w:szCs w:val="22"/>
        </w:rPr>
        <w:t xml:space="preserve">Любое юридическое или физическое лицо (в том числе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индивидуальный предприниматель) может являться субподрядчиком у произвольного числа Генеральных подрядчиков, а также имеет право самостоятельно принимать участие в закупке.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Каждый Генеральный подрядчик может подать только одну заявку и не может быть субподрядчиком у других Генеральных подрядчиков. В случае невыполнения этих требований заявки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участием таких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лиц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будут отклонены без рассмотрения по существу.</w:t>
      </w:r>
      <w:bookmarkEnd w:id="67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Если подразделом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не предусмотрен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ы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рассмотрение и оценка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заявок Участников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учетом привлекаемых субподрядчиков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то при рассмотрении и оценке заявок к учету принимаются исключительно сведения о самом Участнике,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связи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чем Участник не обязан предоставлять документы на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привлекаемых им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субподрядчиков, указанные в подразделе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_Ref125709973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sz w:val="22"/>
          <w:szCs w:val="22"/>
        </w:rPr>
        <w:t xml:space="preserve">8.4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Требований к Участникам (Приложение № 3)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. Ответственность за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373" w:name="_Toc16"/>
      <w:r>
        <w:rPr>
          <w:rFonts w:ascii="Times New Roman" w:hAnsi="Times New Roman" w:eastAsia="Times New Roman" w:cs="Times New Roman"/>
          <w:sz w:val="22"/>
          <w:szCs w:val="22"/>
        </w:rPr>
      </w:r>
      <w:bookmarkStart w:id="68" w:name="_Ref125361211"/>
      <w:r>
        <w:rPr>
          <w:rFonts w:ascii="Times New Roman" w:hAnsi="Times New Roman" w:eastAsia="Times New Roman" w:cs="Times New Roman"/>
          <w:sz w:val="22"/>
          <w:szCs w:val="22"/>
        </w:rPr>
      </w:r>
      <w:bookmarkStart w:id="69" w:name="_Ref125367098"/>
      <w:r>
        <w:rPr>
          <w:rFonts w:ascii="Times New Roman" w:hAnsi="Times New Roman" w:eastAsia="Times New Roman" w:cs="Times New Roman"/>
          <w:sz w:val="22"/>
          <w:szCs w:val="22"/>
        </w:rPr>
      </w:r>
      <w:bookmarkStart w:id="70" w:name="_Ref125367107"/>
      <w:r>
        <w:rPr>
          <w:rFonts w:ascii="Times New Roman" w:hAnsi="Times New Roman" w:eastAsia="Times New Roman" w:cs="Times New Roman"/>
          <w:sz w:val="22"/>
          <w:szCs w:val="22"/>
        </w:rPr>
      </w:r>
      <w:bookmarkStart w:id="71" w:name="_Ref125367974"/>
      <w:r>
        <w:rPr>
          <w:rFonts w:ascii="Times New Roman" w:hAnsi="Times New Roman" w:eastAsia="Times New Roman" w:cs="Times New Roman"/>
          <w:sz w:val="22"/>
          <w:szCs w:val="22"/>
        </w:rPr>
        <w:t xml:space="preserve">Порядок проведения закупки</w:t>
      </w:r>
      <w:bookmarkEnd w:id="68"/>
      <w:r>
        <w:rPr>
          <w:rFonts w:ascii="Times New Roman" w:hAnsi="Times New Roman" w:eastAsia="Times New Roman" w:cs="Times New Roman"/>
          <w:sz w:val="22"/>
          <w:szCs w:val="22"/>
        </w:rPr>
      </w:r>
      <w:bookmarkEnd w:id="69"/>
      <w:r>
        <w:rPr>
          <w:rFonts w:ascii="Times New Roman" w:hAnsi="Times New Roman" w:eastAsia="Times New Roman" w:cs="Times New Roman"/>
          <w:sz w:val="22"/>
          <w:szCs w:val="22"/>
        </w:rPr>
      </w:r>
      <w:bookmarkEnd w:id="70"/>
      <w:r>
        <w:rPr>
          <w:rFonts w:ascii="Times New Roman" w:hAnsi="Times New Roman" w:eastAsia="Times New Roman" w:cs="Times New Roman"/>
          <w:sz w:val="22"/>
          <w:szCs w:val="22"/>
        </w:rPr>
      </w:r>
      <w:bookmarkEnd w:id="71"/>
      <w:r>
        <w:rPr>
          <w:rFonts w:ascii="Times New Roman" w:hAnsi="Times New Roman" w:eastAsia="Times New Roman" w:cs="Times New Roman"/>
          <w:sz w:val="22"/>
          <w:szCs w:val="22"/>
        </w:rPr>
      </w:r>
      <w:bookmarkEnd w:id="373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374" w:name="_Toc17"/>
      <w:r>
        <w:rPr>
          <w:rFonts w:ascii="Times New Roman" w:hAnsi="Times New Roman" w:eastAsia="Times New Roman" w:cs="Times New Roman"/>
          <w:sz w:val="22"/>
          <w:szCs w:val="22"/>
        </w:rPr>
      </w:r>
      <w:bookmarkStart w:id="73" w:name="_Ref126141932"/>
      <w:r>
        <w:rPr>
          <w:rFonts w:ascii="Times New Roman" w:hAnsi="Times New Roman" w:eastAsia="Times New Roman" w:cs="Times New Roman"/>
          <w:sz w:val="22"/>
          <w:szCs w:val="22"/>
        </w:rPr>
        <w:t xml:space="preserve">Общий порядок проведения закупки</w:t>
      </w:r>
      <w:bookmarkEnd w:id="73"/>
      <w:r>
        <w:rPr>
          <w:rFonts w:ascii="Times New Roman" w:hAnsi="Times New Roman" w:eastAsia="Times New Roman" w:cs="Times New Roman"/>
          <w:sz w:val="22"/>
          <w:szCs w:val="22"/>
        </w:rPr>
      </w:r>
      <w:bookmarkEnd w:id="374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keepNext/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Закупка проводится в следующем порядке: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Style w:val="1181"/>
        <w:tblW w:w="14007" w:type="dxa"/>
        <w:tblInd w:w="11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"/>
        <w:gridCol w:w="2041"/>
        <w:gridCol w:w="1176"/>
        <w:gridCol w:w="3218"/>
        <w:gridCol w:w="2694"/>
        <w:gridCol w:w="2268"/>
        <w:gridCol w:w="2236"/>
      </w:tblGrid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60"/>
              <w:jc w:val="center"/>
              <w:spacing w:before="40" w:after="40"/>
              <w:rPr>
                <w:rFonts w:ascii="Times New Roman" w:hAnsi="Times New Roman" w:cs="Times New Roman"/>
                <w:b w:val="0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2"/>
                <w:szCs w:val="22"/>
              </w:rPr>
              <w:t xml:space="preserve">Ô</w:t>
            </w:r>
            <w:r>
              <w:rPr>
                <w:rFonts w:ascii="Times New Roman" w:hAnsi="Times New Roman" w:cs="Times New Roman"/>
                <w:b w:val="0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/>
                <w:sz w:val="22"/>
                <w:szCs w:val="22"/>
              </w:rPr>
            </w:r>
          </w:p>
        </w:tc>
        <w:tc>
          <w:tcPr>
            <w:gridSpan w:val="6"/>
            <w:tcBorders>
              <w:bottom w:val="single" w:color="7F7F7F" w:themeColor="text1" w:themeTint="80" w:sz="4" w:space="0"/>
              <w:right w:val="none" w:color="000000" w:sz="4" w:space="0"/>
            </w:tcBorders>
            <w:tcW w:w="13633" w:type="dxa"/>
            <w:textDirection w:val="lrTb"/>
            <w:noWrap w:val="false"/>
          </w:tcPr>
          <w:p>
            <w:pPr>
              <w:pStyle w:val="1160"/>
              <w:jc w:val="center"/>
              <w:spacing w:before="40" w:after="40"/>
              <w:rPr>
                <w:rFonts w:ascii="Times New Roman" w:hAnsi="Times New Roman" w:cs="Times New Roman"/>
                <w:b w:val="0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2"/>
                <w:szCs w:val="22"/>
              </w:rPr>
              <w:t xml:space="preserve">Официальное размещение Извещения и Документации о закупке (подраздел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2"/>
                <w:szCs w:val="22"/>
              </w:rPr>
              <w:instrText xml:space="preserve"> REF _Ref130286532 \r \h </w:instrTex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2"/>
                <w:szCs w:val="22"/>
              </w:rPr>
              <w:t xml:space="preserve">4.2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b w:val="0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60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gridSpan w:val="3"/>
            <w:tcW w:w="6435" w:type="dxa"/>
            <w:textDirection w:val="lrTb"/>
            <w:noWrap w:val="false"/>
          </w:tcPr>
          <w:p>
            <w:pPr>
              <w:pStyle w:val="1160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Подготовка заявки (подраздел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instrText xml:space="preserve"> REF _Ref130281199 \r \h </w:instrTex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W w:w="2694" w:type="dxa"/>
            <w:vMerge w:val="restart"/>
            <w:textDirection w:val="lrTb"/>
            <w:noWrap w:val="false"/>
          </w:tcPr>
          <w:p>
            <w:pPr>
              <w:pStyle w:val="1160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Предоставление разъяснений положений Документации о закупке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instrText xml:space="preserve"> REF _Ref130394205 \r \h </w:instrTex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4.4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2"/>
                <w:szCs w:val="22"/>
              </w:rPr>
              <w:t xml:space="preserve">(опциональная процедура закупки)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1160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Внесение изменений в Извещение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(или)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 Документацию о закупке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instrText xml:space="preserve"> REF _Ref125362076 \r \h </w:instrTex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4.5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2"/>
                <w:szCs w:val="22"/>
              </w:rPr>
              <w:t xml:space="preserve">(опциональная процедура закупки)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restart"/>
            <w:textDirection w:val="lrTb"/>
            <w:noWrap w:val="false"/>
          </w:tcPr>
          <w:p>
            <w:pPr>
              <w:pStyle w:val="1160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Отказ от проведения закупки (отмена закупки)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instrText xml:space="preserve"> REF _Ref132816134 \r \h </w:instrTex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4.17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2"/>
                <w:szCs w:val="22"/>
              </w:rPr>
              <w:t xml:space="preserve">(опциональная процедура закупки)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60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W w:w="2041" w:type="dxa"/>
            <w:textDirection w:val="lrTb"/>
            <w:noWrap w:val="false"/>
          </w:tcPr>
          <w:p>
            <w:pPr>
              <w:pStyle w:val="1160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Подача заявок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и их прием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instrText xml:space="preserve"> REF _Ref125362119 \r \h </w:instrTex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4.6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gridSpan w:val="2"/>
            <w:tcW w:w="4394" w:type="dxa"/>
            <w:textDirection w:val="lrTb"/>
            <w:noWrap w:val="false"/>
          </w:tcPr>
          <w:p>
            <w:pPr>
              <w:pStyle w:val="1160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Изменение и отзыв заявок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instrText xml:space="preserve"> REF _Ref125362130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4.7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2"/>
                <w:szCs w:val="22"/>
              </w:rPr>
              <w:t xml:space="preserve">(опциональная процедура закупки)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60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60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60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60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gridSpan w:val="5"/>
            <w:tcW w:w="11397" w:type="dxa"/>
            <w:textDirection w:val="lrTb"/>
            <w:noWrap w:val="false"/>
          </w:tcPr>
          <w:p>
            <w:pPr>
              <w:pStyle w:val="1160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Открытия доступа к первым частям заявок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instrText xml:space="preserve"> REF _Ref132816188 \r \h </w:instrTex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4.8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Borders>
              <w:bottom w:val="none" w:color="000000" w:sz="4" w:space="0"/>
              <w:right w:val="none" w:color="000000" w:sz="4" w:space="0"/>
            </w:tcBorders>
            <w:tcW w:w="2236" w:type="dxa"/>
            <w:textDirection w:val="lrTb"/>
            <w:noWrap w:val="false"/>
          </w:tcPr>
          <w:p>
            <w:pPr>
              <w:pStyle w:val="1160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60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gridSpan w:val="2"/>
            <w:tcW w:w="3217" w:type="dxa"/>
            <w:vAlign w:val="center"/>
            <w:textDirection w:val="lrTb"/>
            <w:noWrap w:val="false"/>
          </w:tcPr>
          <w:p>
            <w:pPr>
              <w:pStyle w:val="1160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Рассмотрение первых частей заявок (отборочная стадия)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instrText xml:space="preserve"> REF _Ref125362364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4.9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W w:w="3218" w:type="dxa"/>
            <w:vAlign w:val="center"/>
            <w:textDirection w:val="lrTb"/>
            <w:noWrap w:val="false"/>
          </w:tcPr>
          <w:p>
            <w:pPr>
              <w:pStyle w:val="1160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Применение законодательства о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национальном режиме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(предоставление национального режима или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запрета)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(подраздел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instrText xml:space="preserve"> REF _Ref132816300 \r \h </w:instrTex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W w:w="2694" w:type="dxa"/>
            <w:vAlign w:val="center"/>
            <w:vMerge w:val="restart"/>
            <w:textDirection w:val="lrTb"/>
            <w:noWrap w:val="false"/>
          </w:tcPr>
          <w:p>
            <w:pPr>
              <w:pStyle w:val="1160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Направление дополнительных запросов разъяснений заявок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instrText xml:space="preserve"> REF _Ref125362381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4.12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pStyle w:val="1160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Признание закупки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  <w:t xml:space="preserve">несостоявшейся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instrText xml:space="preserve"> REF _Ref125364149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4.16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2"/>
                <w:szCs w:val="22"/>
              </w:rPr>
              <w:t xml:space="preserve">(опциональная процедура закупки)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restart"/>
            <w:textDirection w:val="lrTb"/>
            <w:noWrap w:val="false"/>
          </w:tcPr>
          <w:p>
            <w:pPr>
              <w:pStyle w:val="1160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Отказ от проведения закупки (отмена закупки) по обстоятельствам непреодолимой силы в соответствии с гражданским законодательством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instrText xml:space="preserve"> REF _Ref132816141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4.17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2"/>
                <w:szCs w:val="22"/>
              </w:rPr>
              <w:t xml:space="preserve">(опциональная процедура закупки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60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gridSpan w:val="3"/>
            <w:tcW w:w="6435" w:type="dxa"/>
            <w:textDirection w:val="lrTb"/>
            <w:noWrap w:val="false"/>
          </w:tcPr>
          <w:p>
            <w:pPr>
              <w:pStyle w:val="1160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Открытие доступа ко вторым частям заявок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ценовым предложениям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instrText xml:space="preserve"> REF _Ref132801184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4.10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60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60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60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60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gridSpan w:val="3"/>
            <w:tcBorders>
              <w:bottom w:val="single" w:color="7F7F7F" w:themeColor="text1" w:themeTint="80" w:sz="4" w:space="0"/>
            </w:tcBorders>
            <w:tcW w:w="6435" w:type="dxa"/>
            <w:textDirection w:val="lrTb"/>
            <w:noWrap w:val="false"/>
          </w:tcPr>
          <w:p>
            <w:pPr>
              <w:pStyle w:val="1160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Рассмотрение вторых частей заявок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 (отборочная стадия)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, в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том числе (при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необходимости) проведение аккредитации,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и ценовых предложений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instrText xml:space="preserve"> REF _Ref132797154 \r \h </w:instrTex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4.11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60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60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60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627"/>
        </w:trPr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60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W w:w="2041" w:type="dxa"/>
            <w:vAlign w:val="center"/>
            <w:vMerge w:val="restart"/>
            <w:textDirection w:val="lrTb"/>
            <w:noWrap w:val="false"/>
          </w:tcPr>
          <w:p>
            <w:pPr>
              <w:pStyle w:val="1160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Оценка и сопоставлени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 заявок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instrText xml:space="preserve"> REF _Ref125362626 \r \h  \* MERGEFORMAT </w:instrTex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4.13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gridSpan w:val="2"/>
            <w:tcW w:w="4394" w:type="dxa"/>
            <w:textDirection w:val="lrTb"/>
            <w:noWrap w:val="false"/>
          </w:tcPr>
          <w:p>
            <w:pPr>
              <w:pStyle w:val="1160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Применение законодательства о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национальном режиме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(в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части учета установленного преимущества в цене предложения, если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применимо)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(подраздел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instrText xml:space="preserve"> REF _Ref132816300 \r \h </w:instrTex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60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60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60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60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gridSpan w:val="4"/>
            <w:tcW w:w="9129" w:type="dxa"/>
            <w:textDirection w:val="lrTb"/>
            <w:noWrap w:val="false"/>
          </w:tcPr>
          <w:p>
            <w:pPr>
              <w:pStyle w:val="1160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Подведение итогов закупки (определение Победителя) (подраздел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instrText xml:space="preserve"> REF _Ref125362658 \r \h </w:instrTex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4.15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60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60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60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u w:val="single"/>
              </w:rPr>
              <w:t xml:space="preserve">Ô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gridSpan w:val="2"/>
            <w:tcW w:w="3217" w:type="dxa"/>
            <w:textDirection w:val="lrTb"/>
            <w:noWrap w:val="false"/>
          </w:tcPr>
          <w:p>
            <w:pPr>
              <w:pStyle w:val="1160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Заключение Договора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instrText xml:space="preserve"> REF _Ref138341423 \r \h </w:instrTex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5.2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W w:w="3218" w:type="dxa"/>
            <w:textDirection w:val="lrTb"/>
            <w:noWrap w:val="false"/>
          </w:tcPr>
          <w:p>
            <w:pPr>
              <w:pStyle w:val="1160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Применение законодательства о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национальном режиме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(в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части ограничения на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стадии заключения договора)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(подраздел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instrText xml:space="preserve"> REF _Ref132816300 \r \h </w:instrTex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gridSpan w:val="3"/>
            <w:tcBorders>
              <w:right w:val="none" w:color="000000" w:sz="4" w:space="0"/>
            </w:tcBorders>
            <w:tcW w:w="7198" w:type="dxa"/>
            <w:textDirection w:val="lrTb"/>
            <w:noWrap w:val="false"/>
          </w:tcPr>
          <w:p>
            <w:pPr>
              <w:pStyle w:val="1160"/>
              <w:jc w:val="center"/>
              <w:spacing w:before="40"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Уклонение Победителя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от заключения Договора (подраздел 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instrText xml:space="preserve"> REF _Ref125367068 \r \h </w:instrTex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5.3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2"/>
                <w:szCs w:val="22"/>
              </w:rPr>
              <w:t xml:space="preserve">(опциональная процедура закупки)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</w:tr>
    </w:tbl>
    <w:p>
      <w:pPr>
        <w:pStyle w:val="1160"/>
        <w:rPr>
          <w:rFonts w:ascii="Times New Roman" w:hAnsi="Times New Roman" w:cs="Times New Roman"/>
          <w:sz w:val="22"/>
          <w:szCs w:val="22"/>
        </w:rPr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375" w:name="_Toc18"/>
      <w:r>
        <w:rPr>
          <w:rFonts w:ascii="Times New Roman" w:hAnsi="Times New Roman" w:eastAsia="Times New Roman" w:cs="Times New Roman"/>
          <w:sz w:val="22"/>
          <w:szCs w:val="22"/>
        </w:rPr>
      </w:r>
      <w:bookmarkStart w:id="76" w:name="_Ref130286532"/>
      <w:r>
        <w:rPr>
          <w:rFonts w:ascii="Times New Roman" w:hAnsi="Times New Roman" w:eastAsia="Times New Roman" w:cs="Times New Roman"/>
          <w:sz w:val="22"/>
          <w:szCs w:val="22"/>
        </w:rPr>
        <w:t xml:space="preserve">Официальное размещение Извещения и Документации о закупке</w:t>
      </w:r>
      <w:r>
        <w:rPr>
          <w:rFonts w:ascii="Times New Roman" w:hAnsi="Times New Roman" w:eastAsia="Times New Roman" w:cs="Times New Roman"/>
          <w:sz w:val="22"/>
          <w:szCs w:val="22"/>
        </w:rPr>
      </w:r>
      <w:bookmarkEnd w:id="76"/>
      <w:r>
        <w:rPr>
          <w:rFonts w:ascii="Times New Roman" w:hAnsi="Times New Roman" w:eastAsia="Times New Roman" w:cs="Times New Roman"/>
          <w:sz w:val="22"/>
          <w:szCs w:val="22"/>
        </w:rPr>
      </w:r>
      <w:bookmarkEnd w:id="375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Извещение и Документация о закупке официально размещены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на Официальном сайте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ЕИС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 доступны для ознакомления без взимания платы. Иные публикации не влекут для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Организатора никаких последствий.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При возникновении технических или иных неполадок, блокирующих доступ к Официальному сайту (ЕИС) в течение более чем 1 (одного) рабочего дня, информация размещается на официальном сайте Заказчика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последующим размещением ее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на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Официальном сайте (ЕИС) в течение 1 (одного) рабочего дня со дня устранения указанных неполадок.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78" w:name="_Ref125362785"/>
      <w:r>
        <w:rPr>
          <w:rFonts w:ascii="Times New Roman" w:hAnsi="Times New Roman" w:eastAsia="Times New Roman" w:cs="Times New Roman"/>
          <w:sz w:val="22"/>
          <w:szCs w:val="22"/>
        </w:rPr>
        <w:t xml:space="preserve">У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частники могут получить Документацию о закупке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также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через ЭП. Порядок получения информации через ЭП определяется Регламентом ЭП,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использованием которой проводится закупка.</w:t>
      </w:r>
      <w:bookmarkEnd w:id="78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376" w:name="_Toc19"/>
      <w:r>
        <w:rPr>
          <w:rFonts w:ascii="Times New Roman" w:hAnsi="Times New Roman" w:eastAsia="Times New Roman" w:cs="Times New Roman"/>
          <w:sz w:val="22"/>
          <w:szCs w:val="22"/>
        </w:rPr>
      </w:r>
      <w:bookmarkStart w:id="79" w:name="_Ref130281199"/>
      <w:r>
        <w:rPr>
          <w:rFonts w:ascii="Times New Roman" w:hAnsi="Times New Roman" w:eastAsia="Times New Roman" w:cs="Times New Roman"/>
          <w:sz w:val="22"/>
          <w:szCs w:val="22"/>
        </w:rPr>
      </w:r>
      <w:bookmarkStart w:id="80" w:name="_Ref130394681"/>
      <w:r>
        <w:rPr>
          <w:rFonts w:ascii="Times New Roman" w:hAnsi="Times New Roman" w:eastAsia="Times New Roman" w:cs="Times New Roman"/>
          <w:sz w:val="22"/>
          <w:szCs w:val="22"/>
        </w:rPr>
        <w:t xml:space="preserve">Подготовка заявки</w:t>
      </w:r>
      <w:bookmarkEnd w:id="79"/>
      <w:r>
        <w:rPr>
          <w:rFonts w:ascii="Times New Roman" w:hAnsi="Times New Roman" w:eastAsia="Times New Roman" w:cs="Times New Roman"/>
          <w:sz w:val="22"/>
          <w:szCs w:val="22"/>
        </w:rPr>
      </w:r>
      <w:bookmarkEnd w:id="80"/>
      <w:r>
        <w:rPr>
          <w:rFonts w:ascii="Times New Roman" w:hAnsi="Times New Roman" w:eastAsia="Times New Roman" w:cs="Times New Roman"/>
          <w:sz w:val="22"/>
          <w:szCs w:val="22"/>
        </w:rPr>
      </w:r>
      <w:bookmarkEnd w:id="376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Участник должен подготовить заявку с учетом требований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Документации о закупке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Участник самостоятельно несет все расходы, связанные с подготовкой и подачей заявки (подраздел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_Ref125362119 \r \h </w:instrText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4.6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), а Организатор (Заказчик) по этим расходам не отвеч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ает и не имеет обязательств (в том числе по возврату Участнику материалов и документов, входящих в состав его заявки), независимо от хода и результатов закупки, за исключением случаев, прямо предусмотренных Положением о закупке или Документацией о закупке.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82" w:name="_Ref125365866"/>
      <w:r>
        <w:rPr>
          <w:rFonts w:ascii="Times New Roman" w:hAnsi="Times New Roman" w:eastAsia="Times New Roman" w:cs="Times New Roman"/>
          <w:sz w:val="22"/>
          <w:szCs w:val="22"/>
        </w:rPr>
        <w:t xml:space="preserve">Участник должен подготовить заявку, включающую в себя полный комплект документов согласно перечню, определенному </w:t>
      </w:r>
      <w:hyperlink w:tooltip="#Прил06_СоставЗаявки" w:anchor="Прил06_СоставЗаявки" w:history="1"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Приложением № </w:t>
        </w:r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6</w:t>
        </w:r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 – Состав заявки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. Образцы форм документов, включаемых в состав заявки, а также инструкции по их подготовке, приведены в </w:t>
      </w:r>
      <w:hyperlink w:tooltip="#Прил04_ФормыЗаявки" w:anchor="Прил04_ФормыЗаявки" w:history="1"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Приложение № </w:t>
        </w:r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4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Непосредственно перед подачей заявки Участник должен разделить подготовленные документы на отдельные части: </w:t>
      </w:r>
      <w:bookmarkStart w:id="83" w:name="_Hlk132886098"/>
      <w:r>
        <w:rPr>
          <w:rFonts w:ascii="Times New Roman" w:hAnsi="Times New Roman" w:eastAsia="Times New Roman" w:cs="Times New Roman"/>
          <w:sz w:val="22"/>
          <w:szCs w:val="22"/>
        </w:rPr>
        <w:t xml:space="preserve">первую часть, вторую часть и ценовое предложение</w:t>
      </w:r>
      <w:bookmarkEnd w:id="83"/>
      <w:r>
        <w:rPr>
          <w:rFonts w:ascii="Times New Roman" w:hAnsi="Times New Roman" w:eastAsia="Times New Roman" w:cs="Times New Roman"/>
          <w:sz w:val="22"/>
          <w:szCs w:val="22"/>
        </w:rPr>
        <w:t xml:space="preserve"> в соответствии с перечнем документов, входящих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каждую из частей,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определенному </w:t>
      </w:r>
      <w:hyperlink w:tooltip="#Прил06_СоставЗаявки" w:anchor="Прил06_СоставЗаявки" w:history="1"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Приложением № 6 – Состав заявки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первую часть заявки должны входить документы, содержащие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или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 его ценовом предложении), а также информаци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 документы, необходимые для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осуществления оценки заявки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отношении предлагаемой 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поставке продукции (в случае установления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оответствующих критериев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оценки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hyperlink w:tooltip="#Прил08_ПорядокОценки" w:anchor="Прил08_ПорядокОценки" w:history="1"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Порядке и критериях оценки и сопоставления заявок (Приложение № 8)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).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Во вторую часть заявки должны входить документы, содержащие сведения об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Участнике и информацию о его соответствии требованиям Документации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закупке, копии документов, подтверждающих соответствие поставляемой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продукции, требованиям Документации о закупке, установленным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соответствии с законодательством (в случае установления таких требований в Документации о закупке), а также информаци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 документы, необходимые для осуществления оценки заявки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отношении Участника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случае установления соответствующих критериев оценки в </w:t>
      </w:r>
      <w:hyperlink w:tooltip="#Прил08_ПорядокОценки" w:anchor="Прил08_ПорядокОценки" w:history="1"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Порядке и критериях оценки и сопоставления заявок (Приложение № 8)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).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При этом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документы, входящие в состав первой части заявки, не должны подаваться на фирменном бланке Участника или иным образом содержать сведения, идентифицирующие его (наименование, адрес местонахождения, номер контактного телефона, адрес электронной почты, сайт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информационно-телекоммуникационной сети «Интернет» и т.п.).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случае обнаружения в первой части заявки сведений об Участнике 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или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его ценовом предложении, такая заявка подлежит отклонению.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84" w:name="_Ref130394854"/>
      <w:r>
        <w:rPr>
          <w:rFonts w:ascii="Times New Roman" w:hAnsi="Times New Roman" w:eastAsia="Times New Roman" w:cs="Times New Roman"/>
          <w:sz w:val="22"/>
          <w:szCs w:val="22"/>
        </w:rPr>
        <w:t xml:space="preserve">Участник имеет право подать только одну за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явку. При этом не допускается подача заявки на часть лота по отдельным видам или объемам продукции. В случае нарушения этого требования (при получении двух и более заявок от одного Участника в рамках одного лота) все поданные им заявки подлежат отклонению.</w:t>
      </w:r>
      <w:bookmarkEnd w:id="82"/>
      <w:r>
        <w:rPr>
          <w:rFonts w:ascii="Times New Roman" w:hAnsi="Times New Roman" w:eastAsia="Times New Roman" w:cs="Times New Roman"/>
          <w:sz w:val="22"/>
          <w:szCs w:val="22"/>
        </w:rPr>
      </w:r>
      <w:bookmarkEnd w:id="84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85" w:name="_Ref125361260"/>
      <w:r>
        <w:rPr>
          <w:rFonts w:ascii="Times New Roman" w:hAnsi="Times New Roman" w:eastAsia="Times New Roman" w:cs="Times New Roman"/>
          <w:sz w:val="22"/>
          <w:szCs w:val="22"/>
        </w:rPr>
      </w:r>
      <w:bookmarkStart w:id="86" w:name="_Ref125362071"/>
      <w:r>
        <w:rPr>
          <w:rFonts w:ascii="Times New Roman" w:hAnsi="Times New Roman" w:eastAsia="Times New Roman" w:cs="Times New Roman"/>
          <w:sz w:val="22"/>
          <w:szCs w:val="22"/>
        </w:rPr>
      </w:r>
      <w:bookmarkStart w:id="87" w:name="_Ref125366672"/>
      <w:r>
        <w:rPr>
          <w:rFonts w:ascii="Times New Roman" w:hAnsi="Times New Roman" w:eastAsia="Times New Roman" w:cs="Times New Roman"/>
          <w:sz w:val="22"/>
          <w:szCs w:val="22"/>
        </w:rPr>
        <w:t xml:space="preserve">Заявка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должна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быть действительна в течение срока проведения закупки и до истечения срока, отведенного на заключение Договора (пункт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_Ref130293821 \r \h </w:instrText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5.2.1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). В любом случае этот срок должен быть не менее чем 90 (девяносто) календарных дней с даты окончания срока подачи 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(подраздел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). Указание меньшего срока действия заявки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Письме о подаче оферты (форма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2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 (</w:t>
      </w:r>
      <w:hyperlink w:tooltip="#Прил04_ФормыЗаявки" w:anchor="Прил04_ФормыЗаявки" w:history="1"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Приложение № </w:t>
        </w:r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4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) может служить основанием для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отклонения заявки.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Все документы, входящие в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состав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заявк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должны быть подготовлены на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русском языке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 Исключение составляют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документы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оригиналы которых выданы Участнику третьими лицами на ином языке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: они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могут быть представлены на языке оригинала при условии, что к ним приложен перевод этих документов на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русский язык (в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специально оговоренных случаях –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апостилем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согласно Гаагской конвенции 1961 года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). Наличие противоречий между оригиналом документа и его переводом, которые искажают содержание представленного документа, будет расцениваться Организатором как предоставление недостоверных сведений. Организатор вправе не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рассматривать документы, не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переведенные на русский язык.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Все суммы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денежных средств в документах, входящих в состав заявки, должны быть выражены в российских рублях. Исключение составляют документы, оригиналы которых выданы Участнику третьими лицами с выражением сумм денежных средств в иных валютах: они могут быть предст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авлены в валюте оригинала при условии, что к ним будут приложены комментарии с переводом этих сумм в российские рубли (по официальному курсу валюты, установленному Центральным банком Российской Федерации на дату выдачи документа, с указанием такого курса).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88" w:name="_Ref125370700"/>
      <w:r>
        <w:rPr>
          <w:rFonts w:ascii="Times New Roman" w:hAnsi="Times New Roman" w:eastAsia="Times New Roman" w:cs="Times New Roman"/>
          <w:sz w:val="22"/>
          <w:szCs w:val="22"/>
        </w:rPr>
      </w:r>
      <w:bookmarkStart w:id="89" w:name="_Ref125370708"/>
      <w:r>
        <w:rPr>
          <w:rFonts w:ascii="Times New Roman" w:hAnsi="Times New Roman" w:eastAsia="Times New Roman" w:cs="Times New Roman"/>
          <w:sz w:val="22"/>
          <w:szCs w:val="22"/>
        </w:rPr>
        <w:t xml:space="preserve">Итоговая стоимость заявки (цена Договора) без учета НДС не должна превышать установленную Заказчиком НМЦ (подраздел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), в противном случае заявка будет отклонена.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Итоговая стоимость заявки (цена Договора) должна включать в себя сумму всех расходов, предусмотренных </w:t>
      </w:r>
      <w:hyperlink w:tooltip="#Прил01_ТехТребования" w:anchor="Прил01_ТехТребования" w:history="1"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Техническими требованиями (Приложение № 1)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 и </w:t>
      </w:r>
      <w:hyperlink w:tooltip="#Прил02_ПроектДоговора" w:anchor="Прил02_ПроектДоговора" w:history="1"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Проектом договора (Приложение № 2)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, а также сумму налогов и других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обязательных платежей, подлежащих уплате в соответствии с нормами законодательства (если иное не установлено Документацией о закупке). При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этом сумма НДС (в случае его уплаты) выделяется отдельно и не входит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итоговую стоимость заявки Участника, являющегося плательщиком НДС.</w:t>
      </w:r>
      <w:bookmarkEnd w:id="88"/>
      <w:r>
        <w:rPr>
          <w:rFonts w:ascii="Times New Roman" w:hAnsi="Times New Roman" w:eastAsia="Times New Roman" w:cs="Times New Roman"/>
          <w:sz w:val="22"/>
          <w:szCs w:val="22"/>
        </w:rPr>
      </w:r>
      <w:bookmarkEnd w:id="89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качестве Технического предложения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Участник в составе заявк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предоставляет по установленной форме (форма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4; </w:t>
      </w:r>
      <w:hyperlink w:tooltip="#Прил04_ФормыЗаявки" w:anchor="Прил04_ФормыЗаявки" w:history="1"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Приложение № </w:t>
        </w:r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4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) согласие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(декларацию) на поставку продукции на условиях, указанных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Документации о закупке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в том числе в </w:t>
      </w:r>
      <w:hyperlink w:tooltip="#Прил01_ТехТребования" w:anchor="Прил01_ТехТребования" w:history="1"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Технических требованиях (Приложение №</w:t>
        </w:r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 </w:t>
        </w:r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1)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,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 не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подлежащих изменению по результатам проведения закупки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без подробных предложений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В случае нарушения Участником требований к описанию продукции Организатор вправе отклонить заявку такого Участника от дальнейшего участия в закупке.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93" w:name="_Ref125370398"/>
      <w:r>
        <w:rPr>
          <w:rFonts w:ascii="Times New Roman" w:hAnsi="Times New Roman" w:eastAsia="Times New Roman" w:cs="Times New Roman"/>
          <w:sz w:val="22"/>
          <w:szCs w:val="22"/>
        </w:rPr>
      </w:r>
      <w:bookmarkStart w:id="94" w:name="_Ref125714384"/>
      <w:r>
        <w:rPr>
          <w:rFonts w:ascii="Times New Roman" w:hAnsi="Times New Roman" w:eastAsia="Times New Roman" w:cs="Times New Roman"/>
          <w:sz w:val="22"/>
          <w:szCs w:val="22"/>
        </w:rPr>
        <w:t xml:space="preserve">Документы, входящие в заявку, не должны содержать недостоверные сведения или намеренно искаженную информацию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 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акже должны отсутствовать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внутренние противоречия между различными частями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 (или)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документами заявки, в том числе по тексту внутри одного документа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противоречия между документами заявки и сведениями, указанными Участником в структурированных формах на ЭП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bookmarkEnd w:id="93"/>
      <w:r>
        <w:rPr>
          <w:rFonts w:ascii="Times New Roman" w:hAnsi="Times New Roman" w:eastAsia="Times New Roman" w:cs="Times New Roman"/>
          <w:sz w:val="22"/>
          <w:szCs w:val="22"/>
        </w:rPr>
      </w:r>
      <w:bookmarkEnd w:id="94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Представленные в составе заявки документы, оформленные / выданные государственными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лицензирующими, сертификационными, аккредитационными органами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или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саморегулируемыми организациями, должны соответствовать императивным требованиям (при наличии) законодательства в отношении: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полномочий таких органов / лиц на оформление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этих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документов;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формы, объема и содержания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этих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документов.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Участник должен подготовить з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аявк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с соблюдением следующ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их условий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документы заявки могут предоставляться как в графическом виде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том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числе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виде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скан-копии, рекомендуемый формат: *.</w: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t xml:space="preserve">pdf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так и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электронном виде (в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формате Microsoft Word (*.doc</w: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t xml:space="preserve">x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), Microsoft Excel (*.xls</w: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t xml:space="preserve">x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), и других)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Исключение составляют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документы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выданны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Участнику третьими лицами, которые должны быть предоставлены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только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графическом виде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том числе в виде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скан-копии, рекомендуемый формат: *.</w: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t xml:space="preserve">pdf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электронные копии документов, заверенные трет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ьей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стороной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должны включать в себя, в том числе, страницы с требуемой отметкой по форме заверения документа (электронная подпись / отметка ИФНС / отметка нотариуса и т.п.);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все файлы не должны иметь защиты от их открытия, изменения, копирования их содержимого или их печати;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файлы электронной заявки рекомендуется именовать так, чтобы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можно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было идентифицировать содержание данного файла заявки (указать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названии файла содержащийся в нем документ). Каждый документ рекомендуется размещать в отдельном файле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сли какой-либо документ представлен в нечитаемом виде, данный документ считается непредставленным.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Никакие исправления в документах заявки не имеют силу, за исключением тех случаев, когда эти исправления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заверены надписью «исправленному верить» 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собственноручной подписью уполномоченного лица Участника, расположенной рядом с каждым исправлением.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377" w:name="_Toc20"/>
      <w:r>
        <w:rPr>
          <w:rFonts w:ascii="Times New Roman" w:hAnsi="Times New Roman" w:eastAsia="Times New Roman" w:cs="Times New Roman"/>
          <w:sz w:val="22"/>
          <w:szCs w:val="22"/>
        </w:rPr>
      </w:r>
      <w:bookmarkStart w:id="95" w:name="_Ref130394205"/>
      <w:r>
        <w:rPr>
          <w:rFonts w:ascii="Times New Roman" w:hAnsi="Times New Roman" w:eastAsia="Times New Roman" w:cs="Times New Roman"/>
          <w:sz w:val="22"/>
          <w:szCs w:val="22"/>
        </w:rPr>
      </w:r>
      <w:bookmarkStart w:id="96" w:name="_Ref130394785"/>
      <w:r>
        <w:rPr>
          <w:rFonts w:ascii="Times New Roman" w:hAnsi="Times New Roman" w:eastAsia="Times New Roman" w:cs="Times New Roman"/>
          <w:sz w:val="22"/>
          <w:szCs w:val="22"/>
        </w:rPr>
      </w:r>
      <w:bookmarkStart w:id="97" w:name="_Ref130394802"/>
      <w:r>
        <w:rPr>
          <w:rFonts w:ascii="Times New Roman" w:hAnsi="Times New Roman" w:eastAsia="Times New Roman" w:cs="Times New Roman"/>
          <w:sz w:val="22"/>
          <w:szCs w:val="22"/>
        </w:rPr>
        <w:t xml:space="preserve">Разъяснение Документации о закупке</w:t>
      </w:r>
      <w:bookmarkEnd w:id="85"/>
      <w:r>
        <w:rPr>
          <w:rFonts w:ascii="Times New Roman" w:hAnsi="Times New Roman" w:eastAsia="Times New Roman" w:cs="Times New Roman"/>
          <w:sz w:val="22"/>
          <w:szCs w:val="22"/>
        </w:rPr>
      </w:r>
      <w:bookmarkEnd w:id="86"/>
      <w:r>
        <w:rPr>
          <w:rFonts w:ascii="Times New Roman" w:hAnsi="Times New Roman" w:eastAsia="Times New Roman" w:cs="Times New Roman"/>
          <w:sz w:val="22"/>
          <w:szCs w:val="22"/>
        </w:rPr>
      </w:r>
      <w:bookmarkEnd w:id="87"/>
      <w:r>
        <w:rPr>
          <w:rFonts w:ascii="Times New Roman" w:hAnsi="Times New Roman" w:eastAsia="Times New Roman" w:cs="Times New Roman"/>
          <w:sz w:val="22"/>
          <w:szCs w:val="22"/>
        </w:rPr>
      </w:r>
      <w:bookmarkEnd w:id="95"/>
      <w:r>
        <w:rPr>
          <w:rFonts w:ascii="Times New Roman" w:hAnsi="Times New Roman" w:eastAsia="Times New Roman" w:cs="Times New Roman"/>
          <w:sz w:val="22"/>
          <w:szCs w:val="22"/>
        </w:rPr>
      </w:r>
      <w:bookmarkEnd w:id="96"/>
      <w:r>
        <w:rPr>
          <w:rFonts w:ascii="Times New Roman" w:hAnsi="Times New Roman" w:eastAsia="Times New Roman" w:cs="Times New Roman"/>
          <w:sz w:val="22"/>
          <w:szCs w:val="22"/>
        </w:rPr>
      </w:r>
      <w:bookmarkEnd w:id="97"/>
      <w:r>
        <w:rPr>
          <w:rFonts w:ascii="Times New Roman" w:hAnsi="Times New Roman" w:eastAsia="Times New Roman" w:cs="Times New Roman"/>
          <w:sz w:val="22"/>
          <w:szCs w:val="22"/>
        </w:rPr>
      </w:r>
      <w:bookmarkEnd w:id="377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Участники вправе обратиться к Организатору за разъяснениями Документации о закупке.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З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апросы подаются в соответствии с Регламентами и инструкциями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ператора ЭП, опубликованными на сайте соответствующей ЭП.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Организатор обязуется ответить на любой вопрос, поступивший не позднее чем за 3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(три) рабочих дня до даты окончания срока подачи заявок.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случае поступления вопросов с нарушением установленного срока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Организатор вправе не предоставлять разъяснения.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Ответы на поступившие вопросы официально размещаются (с указанием предмета запроса, но без указания Участника, от которого поступил вопрос)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сроки, установленные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подразделом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но в любом случае не позднее чем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течение 3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(трех) рабочих дней с даты поступления такого запроса.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Копия ответа размещается Организатором на ЭП.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Организатор также вправе по собственной инициативе (без получения запросов от Участников) официально разместить разъяснения Документации о закупке.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Разъяснения Документации о закупке носят справочный характер и не могут изменять предмет закупки и условия </w:t>
      </w:r>
      <w:hyperlink w:tooltip="#Прил02_ПроектДоговора" w:anchor="Прил02_ПроектДоговора" w:history="1"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П</w:t>
        </w:r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роекта </w:t>
        </w:r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д</w:t>
        </w:r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оговора</w:t>
        </w:r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 (Приложения № 2)</w:t>
        </w:r>
      </w:hyperlink>
      <w:r>
        <w:rPr>
          <w:rStyle w:val="1184"/>
          <w:rFonts w:ascii="Times New Roman" w:hAnsi="Times New Roman" w:eastAsia="Times New Roman" w:cs="Times New Roman"/>
          <w:sz w:val="22"/>
          <w:szCs w:val="22"/>
        </w:rPr>
        <w:t xml:space="preserve">,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противном случае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вносятся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изменения в Документацию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закупке. При этом Участники обязаны учитывать разъяснения Организатора при подготовке своих заявок. Все риски и последствия за подачу заявки без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учета официально размещенных разъяснений несет Участник.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случае получения Участником любой иной информации в отношении условий проводимой закупки в порядке, не предусмотренном настоящим подразделом, такая информация не считается официальной, и Участник не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вправе на нее ссылаться.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378" w:name="_Toc21"/>
      <w:r>
        <w:rPr>
          <w:rFonts w:ascii="Times New Roman" w:hAnsi="Times New Roman" w:eastAsia="Times New Roman" w:cs="Times New Roman"/>
          <w:sz w:val="22"/>
          <w:szCs w:val="22"/>
        </w:rPr>
      </w:r>
      <w:bookmarkStart w:id="99" w:name="_Ref125362076"/>
      <w:r>
        <w:rPr>
          <w:rFonts w:ascii="Times New Roman" w:hAnsi="Times New Roman" w:eastAsia="Times New Roman" w:cs="Times New Roman"/>
          <w:sz w:val="22"/>
          <w:szCs w:val="22"/>
        </w:rPr>
      </w:r>
      <w:bookmarkStart w:id="100" w:name="_Ref125363891"/>
      <w:r>
        <w:rPr>
          <w:rFonts w:ascii="Times New Roman" w:hAnsi="Times New Roman" w:eastAsia="Times New Roman" w:cs="Times New Roman"/>
          <w:sz w:val="22"/>
          <w:szCs w:val="22"/>
        </w:rPr>
      </w:r>
      <w:bookmarkStart w:id="101" w:name="_Ref125364404"/>
      <w:r>
        <w:rPr>
          <w:rFonts w:ascii="Times New Roman" w:hAnsi="Times New Roman" w:eastAsia="Times New Roman" w:cs="Times New Roman"/>
          <w:sz w:val="22"/>
          <w:szCs w:val="22"/>
        </w:rPr>
        <w:t xml:space="preserve">Изменения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Извещени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(или)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Документаци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 закупке</w:t>
      </w:r>
      <w:bookmarkEnd w:id="99"/>
      <w:r>
        <w:rPr>
          <w:rFonts w:ascii="Times New Roman" w:hAnsi="Times New Roman" w:eastAsia="Times New Roman" w:cs="Times New Roman"/>
          <w:sz w:val="22"/>
          <w:szCs w:val="22"/>
        </w:rPr>
      </w:r>
      <w:bookmarkEnd w:id="100"/>
      <w:r>
        <w:rPr>
          <w:rFonts w:ascii="Times New Roman" w:hAnsi="Times New Roman" w:eastAsia="Times New Roman" w:cs="Times New Roman"/>
          <w:sz w:val="22"/>
          <w:szCs w:val="22"/>
        </w:rPr>
      </w:r>
      <w:bookmarkEnd w:id="101"/>
      <w:r>
        <w:rPr>
          <w:rFonts w:ascii="Times New Roman" w:hAnsi="Times New Roman" w:eastAsia="Times New Roman" w:cs="Times New Roman"/>
          <w:sz w:val="22"/>
          <w:szCs w:val="22"/>
        </w:rPr>
      </w:r>
      <w:bookmarkEnd w:id="378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Организатор в любой момент до окончания срока подачи заявок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подраздел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 вправе внести изменения в Извещение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или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Документацию о закупке. При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этом официальному размещению подлежит обновленная редакция Извещения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или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Документации о закупке, а также перечень внесенных изменений в них.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103" w:name="_Ref125550844"/>
      <w:r>
        <w:rPr>
          <w:rFonts w:ascii="Times New Roman" w:hAnsi="Times New Roman" w:eastAsia="Times New Roman" w:cs="Times New Roman"/>
          <w:sz w:val="22"/>
          <w:szCs w:val="22"/>
        </w:rPr>
        <w:t xml:space="preserve">После окончания срока подачи заявок допускается изменени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только в части установленных Документацией о закупке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дат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рассмотрения первых частей заявок;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рассмотрения вторых частей заявок и ценовых предложений;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подведения итогов закупки;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left="113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пределах срока действия заявок и с уведомлением Участников, подавших заявки.</w:t>
      </w:r>
      <w:bookmarkEnd w:id="103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Текст изменений официально размещается в течение 3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(трех) календарных дней со дня принятия решения о внесении указанных изменений.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Участники, официально получившие Документацию о закупке через ЭП, получат соответствующие уведомления в порядке, установленном Регламентом ЭП.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внесении изменений в Документацию о закупке (за исключением указанного в пункте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_Ref125550844 \r \h </w:instrText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4.5.2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), срок подачи заявок будет продлен таким образом, чтобы со дня официального размещения таких изменений до даты окончания подачи заявок оставалось не менее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половины от минимального срока подачи заявок, установленного в Положении о закупке для данного способа, а именно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не менее 3 (трех) рабочих дней.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Участники обязаны учитывать внесенные изменения при подготовке своих заявок. Все риски и последствия за подачу заявки без учета официально размещенных изменений несет Участник.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379" w:name="_Toc22"/>
      <w:r>
        <w:rPr>
          <w:rFonts w:ascii="Times New Roman" w:hAnsi="Times New Roman" w:eastAsia="Times New Roman" w:cs="Times New Roman"/>
          <w:sz w:val="22"/>
          <w:szCs w:val="22"/>
        </w:rPr>
      </w:r>
      <w:bookmarkStart w:id="104" w:name="_Ref125362119"/>
      <w:r>
        <w:rPr>
          <w:rFonts w:ascii="Times New Roman" w:hAnsi="Times New Roman" w:eastAsia="Times New Roman" w:cs="Times New Roman"/>
          <w:sz w:val="22"/>
          <w:szCs w:val="22"/>
        </w:rPr>
        <w:t xml:space="preserve">Подача заявок и их прием</w:t>
      </w:r>
      <w:bookmarkEnd w:id="104"/>
      <w:r>
        <w:rPr>
          <w:rFonts w:ascii="Times New Roman" w:hAnsi="Times New Roman" w:eastAsia="Times New Roman" w:cs="Times New Roman"/>
          <w:sz w:val="22"/>
          <w:szCs w:val="22"/>
        </w:rPr>
      </w:r>
      <w:bookmarkEnd w:id="379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Участник вправе подать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одну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подготовленную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заявку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на участие в закупке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любое время начиная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даты официального размещения Извещения и до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окончания срока подачи 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(подраздел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При этом все части заявок, включая ценовое предложение Участника, подаются им одновременно.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Заявки, поданные позднее установленного срока, не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могут быть приняты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Организатором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независимо от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причин опоздания.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им Положения о закупке Заказчика и Документаци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 закупке (включая все приложения к ней).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Заявка должна быть подготовлена в форме электронного документа и подана с использованием функционала ЭП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в доступном для прочтения формате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При этом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Участник должен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сканировать документы после того, как они будут оформлены в соответствии с требованиями Документации о закупке.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Заявка должна быть подписана электронной подписью лица, которое является уполномоченным представителем Участника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Правила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подачи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также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определяются Регламентом ЭП. Заявки, поданные через ЭП, дублировать в адрес Организатора по почте, электронной почте и другими способами не требуется. Заявки, полученные Организатором не через ЭП, не рассматриваются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Если Регламентом ЭП предусмотрено направление в составе заявки документов, представленных в момент аккредитации Участника на ЭП, Участник обязан обеспечить актуальность направляемых вместе с заявкой сведений.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ператор ЭП до окончания срока подачи заявок обеспечивает конфиденциальность информации, содержащейся в поданных заявках.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380" w:name="_Toc23"/>
      <w:r>
        <w:rPr>
          <w:rFonts w:ascii="Times New Roman" w:hAnsi="Times New Roman" w:eastAsia="Times New Roman" w:cs="Times New Roman"/>
          <w:sz w:val="22"/>
          <w:szCs w:val="22"/>
        </w:rPr>
      </w:r>
      <w:bookmarkStart w:id="106" w:name="_Ref125362130"/>
      <w:r>
        <w:rPr>
          <w:rFonts w:ascii="Times New Roman" w:hAnsi="Times New Roman" w:eastAsia="Times New Roman" w:cs="Times New Roman"/>
          <w:sz w:val="22"/>
          <w:szCs w:val="22"/>
        </w:rPr>
      </w:r>
      <w:bookmarkStart w:id="107" w:name="_Ref125362192"/>
      <w:r>
        <w:rPr>
          <w:rFonts w:ascii="Times New Roman" w:hAnsi="Times New Roman" w:eastAsia="Times New Roman" w:cs="Times New Roman"/>
          <w:sz w:val="22"/>
          <w:szCs w:val="22"/>
        </w:rPr>
      </w:r>
      <w:bookmarkStart w:id="108" w:name="_Ref125363819"/>
      <w:r>
        <w:rPr>
          <w:rFonts w:ascii="Times New Roman" w:hAnsi="Times New Roman" w:eastAsia="Times New Roman" w:cs="Times New Roman"/>
          <w:sz w:val="22"/>
          <w:szCs w:val="22"/>
        </w:rPr>
      </w:r>
      <w:bookmarkStart w:id="109" w:name="_Ref125365136"/>
      <w:r>
        <w:rPr>
          <w:rFonts w:ascii="Times New Roman" w:hAnsi="Times New Roman" w:eastAsia="Times New Roman" w:cs="Times New Roman"/>
          <w:sz w:val="22"/>
          <w:szCs w:val="22"/>
        </w:rPr>
        <w:t xml:space="preserve">Изменение и отзыв заявок</w:t>
      </w:r>
      <w:bookmarkEnd w:id="106"/>
      <w:r>
        <w:rPr>
          <w:rFonts w:ascii="Times New Roman" w:hAnsi="Times New Roman" w:eastAsia="Times New Roman" w:cs="Times New Roman"/>
          <w:sz w:val="22"/>
          <w:szCs w:val="22"/>
        </w:rPr>
      </w:r>
      <w:bookmarkEnd w:id="107"/>
      <w:r>
        <w:rPr>
          <w:rFonts w:ascii="Times New Roman" w:hAnsi="Times New Roman" w:eastAsia="Times New Roman" w:cs="Times New Roman"/>
          <w:sz w:val="22"/>
          <w:szCs w:val="22"/>
        </w:rPr>
      </w:r>
      <w:bookmarkEnd w:id="108"/>
      <w:r>
        <w:rPr>
          <w:rFonts w:ascii="Times New Roman" w:hAnsi="Times New Roman" w:eastAsia="Times New Roman" w:cs="Times New Roman"/>
          <w:sz w:val="22"/>
          <w:szCs w:val="22"/>
        </w:rPr>
      </w:r>
      <w:bookmarkEnd w:id="109"/>
      <w:r>
        <w:rPr>
          <w:rFonts w:ascii="Times New Roman" w:hAnsi="Times New Roman" w:eastAsia="Times New Roman" w:cs="Times New Roman"/>
          <w:sz w:val="22"/>
          <w:szCs w:val="22"/>
        </w:rPr>
      </w:r>
      <w:bookmarkEnd w:id="380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Участник вправе изменить или отозвать поданную им ранее заявку до момента окончания срока подачи 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Внесение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изменений в заявку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отзыв заявки после этого времени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допуска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ю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тся, кроме случаев, прямо предусмотренных Документацией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закупке.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Отзыв Участником ранее поданной заявки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является отказом от участия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закупке, отозванные заявки не рассматриваются Организатором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по существу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Изменение 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отзыв Участником ранее поданной заявки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существляется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порядке, аналогичном порядку подачи и приема заявок, установленному в подразделе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_Ref125362119 \w \h </w:instrText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4.6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зменения и отзыв заявки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осуществляется посредством функционала ЭП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подробный порядок определяется Регламентом ЭП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381" w:name="_Toc24"/>
      <w:r>
        <w:rPr>
          <w:rFonts w:ascii="Times New Roman" w:hAnsi="Times New Roman" w:eastAsia="Times New Roman" w:cs="Times New Roman"/>
          <w:sz w:val="22"/>
          <w:szCs w:val="22"/>
        </w:rPr>
      </w:r>
      <w:bookmarkStart w:id="111" w:name="_Ref132816188"/>
      <w:r>
        <w:rPr>
          <w:rFonts w:ascii="Times New Roman" w:hAnsi="Times New Roman" w:eastAsia="Times New Roman" w:cs="Times New Roman"/>
          <w:sz w:val="22"/>
          <w:szCs w:val="22"/>
        </w:rPr>
        <w:t xml:space="preserve">Открытие доступа к первым частям заявок</w:t>
      </w:r>
      <w:bookmarkEnd w:id="111"/>
      <w:r>
        <w:rPr>
          <w:rFonts w:ascii="Times New Roman" w:hAnsi="Times New Roman" w:eastAsia="Times New Roman" w:cs="Times New Roman"/>
          <w:sz w:val="22"/>
          <w:szCs w:val="22"/>
        </w:rPr>
      </w:r>
      <w:bookmarkEnd w:id="381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113" w:name="_Hlk149310876"/>
      <w:r>
        <w:rPr>
          <w:rFonts w:ascii="Times New Roman" w:hAnsi="Times New Roman" w:eastAsia="Times New Roman" w:cs="Times New Roman"/>
          <w:sz w:val="22"/>
          <w:szCs w:val="22"/>
        </w:rPr>
      </w:r>
      <w:bookmarkStart w:id="114" w:name="_Hlk149310910"/>
      <w:r>
        <w:rPr>
          <w:rFonts w:ascii="Times New Roman" w:hAnsi="Times New Roman" w:eastAsia="Times New Roman" w:cs="Times New Roman"/>
          <w:sz w:val="22"/>
          <w:szCs w:val="22"/>
        </w:rPr>
        <w:t xml:space="preserve">Оператор ЭП направляет в адрес Организатора первые части заявок в срок не позднее 1 (одного) дня, следующего за днем окончания срока подачи заявок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(подраздел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 \* MERGEFORMAT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bookmarkEnd w:id="113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Подробные правила открытия Организатору доступа к первым частям заявок определяются Регламентом ЭП, с использованием которой проводится закупка. При этом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ператор ЭП обеспечивает конфиденциальность сведений о наименовании Участников, в том числе сведений, указанных в сертификатах ключей электронной подписи, которой подписана заявка, а также обеспечивает конфиденциальность сведений, содержащихся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первых част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ях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заявок, от Участников такой закупки.</w:t>
      </w:r>
      <w:bookmarkEnd w:id="114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382" w:name="_Toc25"/>
      <w:r>
        <w:rPr>
          <w:rFonts w:ascii="Times New Roman" w:hAnsi="Times New Roman" w:eastAsia="Times New Roman" w:cs="Times New Roman"/>
          <w:sz w:val="22"/>
          <w:szCs w:val="22"/>
        </w:rPr>
      </w:r>
      <w:bookmarkStart w:id="115" w:name="_Ref125362364"/>
      <w:r>
        <w:rPr>
          <w:rFonts w:ascii="Times New Roman" w:hAnsi="Times New Roman" w:eastAsia="Times New Roman" w:cs="Times New Roman"/>
          <w:sz w:val="22"/>
          <w:szCs w:val="22"/>
        </w:rPr>
      </w:r>
      <w:bookmarkStart w:id="116" w:name="_Ref125366689"/>
      <w:r>
        <w:rPr>
          <w:rFonts w:ascii="Times New Roman" w:hAnsi="Times New Roman" w:eastAsia="Times New Roman" w:cs="Times New Roman"/>
          <w:sz w:val="22"/>
          <w:szCs w:val="22"/>
        </w:rPr>
        <w:t xml:space="preserve">Рассмотрение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первых частей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отборочная стадия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bookmarkEnd w:id="115"/>
      <w:r>
        <w:rPr>
          <w:rFonts w:ascii="Times New Roman" w:hAnsi="Times New Roman" w:eastAsia="Times New Roman" w:cs="Times New Roman"/>
          <w:sz w:val="22"/>
          <w:szCs w:val="22"/>
        </w:rPr>
      </w:r>
      <w:bookmarkEnd w:id="116"/>
      <w:r>
        <w:rPr>
          <w:rFonts w:ascii="Times New Roman" w:hAnsi="Times New Roman" w:eastAsia="Times New Roman" w:cs="Times New Roman"/>
          <w:sz w:val="22"/>
          <w:szCs w:val="22"/>
        </w:rPr>
      </w:r>
      <w:bookmarkEnd w:id="382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Дата окончания срока рассмотрения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первых частей заявок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установлена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подразделе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 Организатор по согласованию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Заказчиком вправе, при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необходимости, изменить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официально разместив информацию об этом.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рамках рассмотрения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первых частей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(отборочной стадии) осуществляется проверка каждой заявки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на предмет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О</w:t>
        </w:r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тборочным критериям</w:t>
        </w:r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 рассмотрения заявок (Приложение № </w:t>
        </w:r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7</w:t>
        </w:r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)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Рассмотрение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первых частей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проводится на основании представленных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составе заявки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документов и сведений.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118" w:name="_Ref125551456"/>
      <w:r>
        <w:rPr>
          <w:rFonts w:ascii="Times New Roman" w:hAnsi="Times New Roman" w:eastAsia="Times New Roman" w:cs="Times New Roman"/>
          <w:sz w:val="22"/>
          <w:szCs w:val="22"/>
        </w:rPr>
        <w:t xml:space="preserve">По результатам рассмотрения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первых частей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(проведения отборочной стадии) Закупочная комиссия отклоняет заявки по следующим основаниям:</w:t>
      </w:r>
      <w:bookmarkEnd w:id="118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есоответствие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первой части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заявки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составу</w:t>
      </w:r>
      <w:r>
        <w:rPr>
          <w:rStyle w:val="1168"/>
          <w:rFonts w:ascii="Times New Roman" w:hAnsi="Times New Roman" w:eastAsia="Times New Roman" w:cs="Times New Roman"/>
          <w:sz w:val="22"/>
          <w:szCs w:val="22"/>
        </w:rPr>
        <w:footnoteReference w:id="3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содержанию 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соблюдению требований Документации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закупке к подготовке (оформлению) заявки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в том числе наличие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недостоверных сведений или намеренно искаженной информации или документов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внутренних противоречий между различными частями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или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документами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первой части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заявки,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том числе 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тексту внутри одного документа;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несоответствие предлагаемой продукции требованиям Документации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закупке, в том числе порядка описания такой продукции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(включая требования по предоставлению информации и перечня документов, которые подтверждают страну происхождения товара – для случаев запрета или ограничения, установленных законодательством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национальном режиме)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несоответствие предлагаемых договорных условий требованиям Документации о закупке;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наличие в документах первой части заявки сведений об Участники и (или) о его ценовом предложении.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Решение Закупочной комиссии по рассмотрению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первых частей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оформляется протоколом, в котором, как минимум, указываются</w:t>
      </w:r>
      <w:r>
        <w:rPr>
          <w:rStyle w:val="1168"/>
          <w:rFonts w:ascii="Times New Roman" w:hAnsi="Times New Roman" w:eastAsia="Times New Roman" w:cs="Times New Roman"/>
          <w:sz w:val="22"/>
          <w:szCs w:val="22"/>
        </w:rPr>
        <w:footnoteReference w:id="4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дата подписания протокола;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идентификационные номера, присваиваемые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ператором ЭП;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результаты рассмотрения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первых частей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 указанием, в том числе: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количества заявок, которые были отклонены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по результатам рассмотрения первых частей 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оснований отклонения каждой заявки с указанием положений Документации о закупке, которым не соответствует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первая часть такой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заявка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причины, по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которым закупка признана несостоявшейся в соответствии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подразделом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_Ref125364149 \w \h </w:instrText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4.17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(в случае ее признания таковой)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ротокол рассмотрения первых частей 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направляется Организатором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ператору ЭП не позднее 3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(трех) календарных дней с даты подписания такого протокола, после чего он официально размещается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(подраздел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_Ref130286532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ператором ЭП в течение 1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(одного) часа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момента его получения от Организатора.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383" w:name="_Toc26"/>
      <w:r>
        <w:rPr>
          <w:rFonts w:ascii="Times New Roman" w:hAnsi="Times New Roman" w:eastAsia="Times New Roman" w:cs="Times New Roman"/>
          <w:sz w:val="22"/>
          <w:szCs w:val="22"/>
        </w:rPr>
      </w:r>
      <w:bookmarkStart w:id="119" w:name="_Ref132801184"/>
      <w:r>
        <w:rPr>
          <w:rFonts w:ascii="Times New Roman" w:hAnsi="Times New Roman" w:eastAsia="Times New Roman" w:cs="Times New Roman"/>
          <w:sz w:val="22"/>
          <w:szCs w:val="22"/>
        </w:rPr>
        <w:t xml:space="preserve">Открытие доступа ко вторым частям заявок и ценовым предложениям</w:t>
      </w:r>
      <w:bookmarkEnd w:id="119"/>
      <w:r>
        <w:rPr>
          <w:rFonts w:ascii="Times New Roman" w:hAnsi="Times New Roman" w:eastAsia="Times New Roman" w:cs="Times New Roman"/>
          <w:sz w:val="22"/>
          <w:szCs w:val="22"/>
        </w:rPr>
      </w:r>
      <w:bookmarkEnd w:id="383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Оператор ЭП направляет в адрес Организатора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вторые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части 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 ценовые предложения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срок,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установленный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подразделе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 \* MERGEFORMAT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Подробные правила открытия Организатору доступа 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вторым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частям 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 ценовым предложениям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определяются Регламентом ЭП, с использованием которой проводится закупка. Оператор ЭП обеспечивает конфиденциальность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сведений содержащихся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 вторых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част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ях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 ценовых предложениях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Участников такой закупки.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384" w:name="_Toc27"/>
      <w:r>
        <w:rPr>
          <w:rFonts w:ascii="Times New Roman" w:hAnsi="Times New Roman" w:eastAsia="Times New Roman" w:cs="Times New Roman"/>
          <w:sz w:val="22"/>
          <w:szCs w:val="22"/>
        </w:rPr>
      </w:r>
      <w:bookmarkStart w:id="121" w:name="_Ref132797154"/>
      <w:r>
        <w:rPr>
          <w:rFonts w:ascii="Times New Roman" w:hAnsi="Times New Roman" w:eastAsia="Times New Roman" w:cs="Times New Roman"/>
          <w:sz w:val="22"/>
          <w:szCs w:val="22"/>
        </w:rPr>
        <w:t xml:space="preserve">Рассмотрение вторых частей 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(отборочная стадия)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в том числе (при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необходимости) проведение аккредитации,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 ценовых предложений</w:t>
      </w:r>
      <w:bookmarkEnd w:id="121"/>
      <w:r>
        <w:rPr>
          <w:rFonts w:ascii="Times New Roman" w:hAnsi="Times New Roman" w:eastAsia="Times New Roman" w:cs="Times New Roman"/>
          <w:sz w:val="22"/>
          <w:szCs w:val="22"/>
        </w:rPr>
      </w:r>
      <w:bookmarkEnd w:id="384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Дата окончания срока рассмотрения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вторых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частей заявок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 ценовых предложений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установлена в подразделе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 Организатор по согласованию с Заказчиком вправе, при необходимости, изменить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официально разместив информацию об этом.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рамках рассмотрения вторых частей заявок и ценового предложения (отборочной стадии) осуществляется проверка каждой заявки, не отклоненной по результатам рассмотрения первых частей заявок,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на предмет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Отборочным критериям рассмотрения заявок (Приложение № 7)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том числе проводится процедура аккредитации Участников (при необходимости)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Рассмотрение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вторых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частей 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 ценового предложения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проводится на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основании представленных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составе заявки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документов и сведений. Проверка актуальности и достоверности предоставленных документов и сведений осуществляется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использованием официальных сервисов органов государственной власти, или иным законным способом.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При выявлении в рамках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рассмотрения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ценовых предложений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наличия арифметических ошибок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в том числе: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результате суммирования единичных расценок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итог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умножения единичных расценок на объем продукции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вычислени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суммы НДС и итоговой стоимости заявки с учетом НДС)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иных внутренних противоречий в составе заявк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и,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left="113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Организатор исходит из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преимущества общей итоговой стоимости (без учета НДС), указанной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структурированных формах на ЭП (последней по времени подачи) и подписанной усиленной квалифицированной электронной подписью уполномоченного лица Участника.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уклонении Участника от заключения договора на вышеуказанных условиях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заявка такого Участника подлежит отклонению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решением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Закупочной комиссии.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123" w:name="_Ref132793926"/>
      <w:r>
        <w:rPr>
          <w:rFonts w:ascii="Times New Roman" w:hAnsi="Times New Roman" w:eastAsia="Times New Roman" w:cs="Times New Roman"/>
          <w:sz w:val="22"/>
          <w:szCs w:val="22"/>
        </w:rPr>
        <w:t xml:space="preserve">По результатам рассмотрения вторых частей заявок и ценовых предложений (проведения отборочной стадии) Закупочная комиссия отклоняет заявки 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следующим основаниям:</w:t>
      </w:r>
      <w:bookmarkEnd w:id="123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несоответствие второй части заявки и (или) ценового предложения по составу</w:t>
      </w:r>
      <w:r>
        <w:rPr>
          <w:rStyle w:val="1168"/>
          <w:rFonts w:ascii="Times New Roman" w:hAnsi="Times New Roman" w:eastAsia="Times New Roman" w:cs="Times New Roman"/>
          <w:sz w:val="22"/>
          <w:szCs w:val="22"/>
        </w:rPr>
        <w:footnoteReference w:id="5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содержанию и соблюдению требований Документации о закупке к подготовке (оформлению) заявки, в том числе наличие: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недостоверных сведений</w:t>
      </w:r>
      <w:r>
        <w:rPr>
          <w:rStyle w:val="1168"/>
          <w:rFonts w:ascii="Times New Roman" w:hAnsi="Times New Roman" w:eastAsia="Times New Roman" w:cs="Times New Roman"/>
          <w:sz w:val="22"/>
          <w:szCs w:val="22"/>
        </w:rPr>
        <w:footnoteReference w:id="6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или намеренно искаженной информации или документов;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внутренних противоречий между различными частями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или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 документами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второй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части заявки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 (или)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ценового предложения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в том числе по тексту внутри одного документа;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противоречий между документами заявки и сведениями, указанными Участником в структурированных формах на ЭП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несоответствие предлагаемой продукции требованиям Документации о закупке,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 учетом представленных во второй части заявки соответствующих подтверждающих документов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несоответствие Участников требованиям Документации о закупке;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несоответствие привлекаемых субподрядчиков (соисполнителей) требованиям Документации о закупке;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превышение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ценового предложения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над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установленн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ым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размер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НМЦ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Решение Закупочной комиссии по рассмотрению вторых частей заявок и ценового предложения оформляется протоколом, в котором, как минимум, указываются</w:t>
      </w:r>
      <w:r>
        <w:rPr>
          <w:rStyle w:val="1168"/>
          <w:rFonts w:ascii="Times New Roman" w:hAnsi="Times New Roman" w:eastAsia="Times New Roman" w:cs="Times New Roman"/>
          <w:sz w:val="22"/>
          <w:szCs w:val="22"/>
        </w:rPr>
        <w:footnoteReference w:id="7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дата подписания протокола;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заявок), с указанием ценового предложения такой заявки;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наименования Участников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заявки которых не были отклонены по результатам рассмотрения первых частей заявок,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(или) их идентификационные номера, присваиваемые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ператором ЭП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результаты рассмотрения вторых частей заявок и ценовых предложений с указанием, в том числе: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количества заявок, которые были отклонены по результатам рассмотрения вторых частей заявок и ценовых предложений;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оснований отклонения каждой заявки с указанием положений Документации о закупке, которым не соответствует вторая часть такой заявка и (или) ценовое предложение;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причины, по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которым закупка признана несостоявшейся в соответствии с подразделом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_Ref125364149 \w \h </w:instrText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4.17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(в случае ее признания таковой)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ротокол рассмотрения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вторых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частей 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 (или)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ценовых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предложений направляется Организатором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ператору ЭП не позднее 3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(трех) календарных дней с даты подписания такого протокола, после чего он официально размещается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(подраздел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_Ref130286532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ператором ЭП в течение 1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(одного) часа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момента его получения от Организатора.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385" w:name="_Toc28"/>
      <w:r>
        <w:rPr>
          <w:rFonts w:ascii="Times New Roman" w:hAnsi="Times New Roman" w:eastAsia="Times New Roman" w:cs="Times New Roman"/>
          <w:sz w:val="22"/>
          <w:szCs w:val="22"/>
        </w:rPr>
      </w:r>
      <w:bookmarkStart w:id="124" w:name="_Ref125362381"/>
      <w:r>
        <w:rPr>
          <w:rFonts w:ascii="Times New Roman" w:hAnsi="Times New Roman" w:eastAsia="Times New Roman" w:cs="Times New Roman"/>
          <w:sz w:val="22"/>
          <w:szCs w:val="22"/>
        </w:rPr>
      </w:r>
      <w:bookmarkStart w:id="125" w:name="_Ref125362425"/>
      <w:r>
        <w:rPr>
          <w:rFonts w:ascii="Times New Roman" w:hAnsi="Times New Roman" w:eastAsia="Times New Roman" w:cs="Times New Roman"/>
          <w:sz w:val="22"/>
          <w:szCs w:val="22"/>
        </w:rPr>
      </w:r>
      <w:bookmarkStart w:id="126" w:name="_Ref125362464"/>
      <w:r>
        <w:rPr>
          <w:rFonts w:ascii="Times New Roman" w:hAnsi="Times New Roman" w:eastAsia="Times New Roman" w:cs="Times New Roman"/>
          <w:sz w:val="22"/>
          <w:szCs w:val="22"/>
        </w:rPr>
      </w:r>
      <w:bookmarkStart w:id="127" w:name="_Ref125362610"/>
      <w:r>
        <w:rPr>
          <w:rFonts w:ascii="Times New Roman" w:hAnsi="Times New Roman" w:eastAsia="Times New Roman" w:cs="Times New Roman"/>
          <w:sz w:val="22"/>
          <w:szCs w:val="22"/>
        </w:rPr>
        <w:t xml:space="preserve">Дополнительные запросы разъяснений заявок</w:t>
      </w:r>
      <w:bookmarkEnd w:id="124"/>
      <w:r>
        <w:rPr>
          <w:rFonts w:ascii="Times New Roman" w:hAnsi="Times New Roman" w:eastAsia="Times New Roman" w:cs="Times New Roman"/>
          <w:sz w:val="22"/>
          <w:szCs w:val="22"/>
        </w:rPr>
      </w:r>
      <w:bookmarkEnd w:id="125"/>
      <w:r>
        <w:rPr>
          <w:rFonts w:ascii="Times New Roman" w:hAnsi="Times New Roman" w:eastAsia="Times New Roman" w:cs="Times New Roman"/>
          <w:sz w:val="22"/>
          <w:szCs w:val="22"/>
        </w:rPr>
      </w:r>
      <w:bookmarkEnd w:id="126"/>
      <w:r>
        <w:rPr>
          <w:rFonts w:ascii="Times New Roman" w:hAnsi="Times New Roman" w:eastAsia="Times New Roman" w:cs="Times New Roman"/>
          <w:sz w:val="22"/>
          <w:szCs w:val="22"/>
        </w:rPr>
      </w:r>
      <w:bookmarkEnd w:id="127"/>
      <w:r>
        <w:rPr>
          <w:rFonts w:ascii="Times New Roman" w:hAnsi="Times New Roman" w:eastAsia="Times New Roman" w:cs="Times New Roman"/>
          <w:sz w:val="22"/>
          <w:szCs w:val="22"/>
        </w:rPr>
      </w:r>
      <w:bookmarkEnd w:id="385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129" w:name="_Ref125365611"/>
      <w:r>
        <w:rPr>
          <w:rFonts w:ascii="Times New Roman" w:hAnsi="Times New Roman" w:eastAsia="Times New Roman" w:cs="Times New Roman"/>
          <w:sz w:val="22"/>
          <w:szCs w:val="22"/>
        </w:rPr>
        <w:t xml:space="preserve">В рамках процедуры рассмотрения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(первых частей заявок, вторых частей заявок и ценовых предложений)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оценки и сопоставления заявок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Организатор вправе направить в адрес Участника дополнительный запрос разъяснений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или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дополнений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его заявки,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влияющих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на отклонение или оценку и сопоставление его заявки, в следующих случаях:</w:t>
      </w:r>
      <w:bookmarkEnd w:id="129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составе заявки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(в какой-либо ее части)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отсутствуют, представлены не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полном объеме или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нечитаемом виде документы или сведения, необходимые для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определения: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соответствия Участника требованиям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Документации о закупке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130" w:name="_Hlk132793683"/>
      <w:r>
        <w:rPr>
          <w:rFonts w:ascii="Times New Roman" w:hAnsi="Times New Roman" w:eastAsia="Times New Roman" w:cs="Times New Roman"/>
          <w:sz w:val="22"/>
          <w:szCs w:val="22"/>
        </w:rPr>
        <w:t xml:space="preserve">наличия соответствующих полномочий на подписани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заявки от имени Участника у лица, подписавшего заявку</w:t>
      </w:r>
      <w:bookmarkEnd w:id="130"/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соответствия заявки требованиям Документации о закупке в части характеристик предлагаемой продукции и договорных условий, расчета цены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оговора;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131" w:name="_Ref135033677"/>
      <w:r>
        <w:rPr>
          <w:rFonts w:ascii="Times New Roman" w:hAnsi="Times New Roman" w:eastAsia="Times New Roman" w:cs="Times New Roman"/>
          <w:sz w:val="22"/>
          <w:szCs w:val="22"/>
        </w:rPr>
        <w:t xml:space="preserve">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составе заявки (в какой-либо ее части) отсутствуют, представлены не в полном объеме или в нечитаемом виде документы или сведения, необходимые для прохождения Участником в рамках рассмотрения вторых частей заявок процедуры аккредитации (при необходимости);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заявке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(в какой-либо ее части)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имеются разночтения или положения, допускающие неоднозначное толкование, не позволяющие определить соответствие заявки или Участника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том числе не позволяющие провести в отношении него процедуру аккредитации (при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необходимости)</w:t>
      </w:r>
      <w:r>
        <w:rPr>
          <w:rStyle w:val="1168"/>
          <w:rFonts w:ascii="Times New Roman" w:hAnsi="Times New Roman" w:eastAsia="Times New Roman" w:cs="Times New Roman"/>
          <w:sz w:val="22"/>
          <w:szCs w:val="22"/>
        </w:rPr>
        <w:footnoteReference w:id="8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требованиям Документации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закупке или осуществить оценку и сопоставление 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bookmarkEnd w:id="131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Если в рамках рассмотрения 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(вторых частей заявок и ценовых предложений)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проводится процедура аккредитации, Организатор вправе направить в адрес Участника дополнительный запрос разъяснений 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(или) дополнени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его заявки,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влияющи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на прохождени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аккредитации таким Участником (в том числе в случае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указанном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подпункт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 _Ref135033677 \d ( \h \r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4.12.1(б)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Не допускаются запросы со стороны Организатора, а также ответы со стороны Участников, изменяющие суть заявки (предмет, объем, цена, номенклатура предлагаемой Участником продукции).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При направлении дополнительных запросов разъяснений заявок не допускается создание преимущественных условий Участнику или нескольким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Участникам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закупки.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Дополнительные запросы направляются одновременно (в один день) всем Участникам, у которых был выявлен факт несоответствий, за исключением следующего – дополнительные запросы не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направляются Участнику если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соответствии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пункт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ами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_Ref125551456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4.9.4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_Ref132793926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4.11.5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имеются прямые основания для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отклонения заявки такого Участника, не относящ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иеся к случаям, перечисленным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пункте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_Ref125365611 \w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4.12.1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Срок предоставления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Участниками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разъяснений своих заявок устанавливается одинаковый для всех и составляет не менее 2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(двух) рабочих дней с момента направления запроса в адрес Участника.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Направление Организатором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дополнительных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запросов и ответов Участников на данные запросы осуществляется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 помощью программных и технических средств ЭП в порядке, предусмотренном Регламентом ЭП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тветы Участников, поступившие не через ЭП, к рассмотрению не принимаются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Непредставление или представление не в полном объеме запрашиваемых документов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или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разъяснений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установленный в запросе срок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служит основанием для отклонения заявки такого Участника 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условиям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пункт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_Ref125551456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4.9.4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_Ref132793926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4.11.5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386" w:name="_Toc29"/>
      <w:r>
        <w:rPr>
          <w:rFonts w:ascii="Times New Roman" w:hAnsi="Times New Roman" w:eastAsia="Times New Roman" w:cs="Times New Roman"/>
          <w:sz w:val="22"/>
          <w:szCs w:val="22"/>
        </w:rPr>
      </w:r>
      <w:bookmarkStart w:id="132" w:name="_Ref125362626"/>
      <w:r>
        <w:rPr>
          <w:rFonts w:ascii="Times New Roman" w:hAnsi="Times New Roman" w:eastAsia="Times New Roman" w:cs="Times New Roman"/>
          <w:sz w:val="22"/>
          <w:szCs w:val="22"/>
        </w:rPr>
      </w:r>
      <w:bookmarkStart w:id="133" w:name="_Ref125365335"/>
      <w:r>
        <w:rPr>
          <w:rFonts w:ascii="Times New Roman" w:hAnsi="Times New Roman" w:eastAsia="Times New Roman" w:cs="Times New Roman"/>
          <w:sz w:val="22"/>
          <w:szCs w:val="22"/>
        </w:rPr>
      </w:r>
      <w:bookmarkStart w:id="134" w:name="_Ref125365519"/>
      <w:r>
        <w:rPr>
          <w:rFonts w:ascii="Times New Roman" w:hAnsi="Times New Roman" w:eastAsia="Times New Roman" w:cs="Times New Roman"/>
          <w:sz w:val="22"/>
          <w:szCs w:val="22"/>
        </w:rPr>
      </w:r>
      <w:bookmarkStart w:id="135" w:name="_Ref125366534"/>
      <w:r>
        <w:rPr>
          <w:rFonts w:ascii="Times New Roman" w:hAnsi="Times New Roman" w:eastAsia="Times New Roman" w:cs="Times New Roman"/>
          <w:sz w:val="22"/>
          <w:szCs w:val="22"/>
        </w:rPr>
      </w:r>
      <w:bookmarkStart w:id="136" w:name="_Ref125369041"/>
      <w:r>
        <w:rPr>
          <w:rFonts w:ascii="Times New Roman" w:hAnsi="Times New Roman" w:eastAsia="Times New Roman" w:cs="Times New Roman"/>
          <w:sz w:val="22"/>
          <w:szCs w:val="22"/>
        </w:rPr>
      </w:r>
      <w:bookmarkStart w:id="137" w:name="_Ref125369308"/>
      <w:r>
        <w:rPr>
          <w:rFonts w:ascii="Times New Roman" w:hAnsi="Times New Roman" w:eastAsia="Times New Roman" w:cs="Times New Roman"/>
          <w:sz w:val="22"/>
          <w:szCs w:val="22"/>
        </w:rPr>
        <w:t xml:space="preserve">Оценка и сопоставление заявок</w:t>
      </w:r>
      <w:bookmarkEnd w:id="132"/>
      <w:r>
        <w:rPr>
          <w:rFonts w:ascii="Times New Roman" w:hAnsi="Times New Roman" w:eastAsia="Times New Roman" w:cs="Times New Roman"/>
          <w:sz w:val="22"/>
          <w:szCs w:val="22"/>
        </w:rPr>
      </w:r>
      <w:bookmarkEnd w:id="133"/>
      <w:r>
        <w:rPr>
          <w:rFonts w:ascii="Times New Roman" w:hAnsi="Times New Roman" w:eastAsia="Times New Roman" w:cs="Times New Roman"/>
          <w:sz w:val="22"/>
          <w:szCs w:val="22"/>
        </w:rPr>
      </w:r>
      <w:bookmarkEnd w:id="134"/>
      <w:r>
        <w:rPr>
          <w:rFonts w:ascii="Times New Roman" w:hAnsi="Times New Roman" w:eastAsia="Times New Roman" w:cs="Times New Roman"/>
          <w:sz w:val="22"/>
          <w:szCs w:val="22"/>
        </w:rPr>
      </w:r>
      <w:bookmarkEnd w:id="135"/>
      <w:r>
        <w:rPr>
          <w:rFonts w:ascii="Times New Roman" w:hAnsi="Times New Roman" w:eastAsia="Times New Roman" w:cs="Times New Roman"/>
          <w:sz w:val="22"/>
          <w:szCs w:val="22"/>
        </w:rPr>
      </w:r>
      <w:bookmarkEnd w:id="136"/>
      <w:r>
        <w:rPr>
          <w:rFonts w:ascii="Times New Roman" w:hAnsi="Times New Roman" w:eastAsia="Times New Roman" w:cs="Times New Roman"/>
          <w:sz w:val="22"/>
          <w:szCs w:val="22"/>
        </w:rPr>
      </w:r>
      <w:bookmarkEnd w:id="137"/>
      <w:r>
        <w:rPr>
          <w:rFonts w:ascii="Times New Roman" w:hAnsi="Times New Roman" w:eastAsia="Times New Roman" w:cs="Times New Roman"/>
          <w:sz w:val="22"/>
          <w:szCs w:val="22"/>
        </w:rPr>
      </w:r>
      <w:bookmarkEnd w:id="386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Оценка и сопоставление заявок, признанных Закупочной комиссией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соответствующими по результатам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рассмотрения 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(первых частей заявок, вторых частей заявок и ценовых предложений)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осуществляется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в соответствии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 </w:t>
      </w:r>
      <w:hyperlink w:tooltip="#Прил08_ПорядокОценки" w:anchor="Прил08_ПорядокОценки" w:history="1"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Порядком и критериями оценки и сопоставления заявок (Приложение № </w:t>
        </w:r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8</w:t>
        </w:r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)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,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присвоением каждой заявке итогового балла.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По результатам оценки заявок Закупочная комиссия в течение 1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(одного) рабочего дня осуществляет их сопоставление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ранжирует по степени их предпочтительности на основании полученного итогового балла (по мере уменьшения)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 При этом первое место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ранжировке присваивается заявке, получившей по результатам оценки наибольший итоговый балл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если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нескольких заявках содержатся одинаковые условия (заявкам присвоен одинаковый итоговый балл), меньший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порядковый номер (более высокое место в ранжировке) присваивается заявке, которая поступила ранее других заявок, на основании информации о поступлении заявок, отражаемой на ЭП (по дате и времени последнего изменения заявки до окончания срока подачи заявок)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Оценка и сопоставление заявок проводится только на основании представленных в составе заявки документов и сведений. Применение иного порядка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или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критериев оценки и сопоставления заявок, кроме предусмотренных Документацией о закупке, не допускается.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139" w:name="_Ref125366064"/>
      <w:r>
        <w:rPr>
          <w:rFonts w:ascii="Times New Roman" w:hAnsi="Times New Roman" w:eastAsia="Times New Roman" w:cs="Times New Roman"/>
          <w:sz w:val="22"/>
          <w:szCs w:val="22"/>
        </w:rPr>
      </w:r>
      <w:bookmarkStart w:id="140" w:name="_Ref125369991"/>
      <w:r>
        <w:rPr>
          <w:rFonts w:ascii="Times New Roman" w:hAnsi="Times New Roman" w:eastAsia="Times New Roman" w:cs="Times New Roman"/>
          <w:sz w:val="22"/>
          <w:szCs w:val="22"/>
        </w:rPr>
      </w:r>
      <w:bookmarkStart w:id="141" w:name="_Ref125370507"/>
      <w:r>
        <w:rPr>
          <w:rFonts w:ascii="Times New Roman" w:hAnsi="Times New Roman" w:eastAsia="Times New Roman" w:cs="Times New Roman"/>
          <w:sz w:val="22"/>
          <w:szCs w:val="22"/>
        </w:rPr>
      </w:r>
      <w:bookmarkStart w:id="142" w:name="_Ref130458671"/>
      <w:r>
        <w:rPr>
          <w:rFonts w:ascii="Times New Roman" w:hAnsi="Times New Roman" w:eastAsia="Times New Roman" w:cs="Times New Roman"/>
          <w:sz w:val="22"/>
          <w:szCs w:val="22"/>
        </w:rPr>
        <w:t xml:space="preserve">Оценка и сопоставление заявок,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 также их ранжировка, осуществляется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учетом применения законодательства о национальном режиме, в т.ч. ПП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1875 (подраздел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_Ref132816300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4.14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143" w:name="_Ref130985951"/>
      <w:r>
        <w:rPr>
          <w:rFonts w:ascii="Times New Roman" w:hAnsi="Times New Roman" w:eastAsia="Times New Roman" w:cs="Times New Roman"/>
          <w:sz w:val="22"/>
          <w:szCs w:val="22"/>
        </w:rPr>
        <w:t xml:space="preserve">Результаты оценки и сопоставления заявок указываются в итоговом протоколе по результатам закупки.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387" w:name="_Toc30"/>
      <w:r>
        <w:rPr>
          <w:rFonts w:ascii="Times New Roman" w:hAnsi="Times New Roman" w:eastAsia="Times New Roman" w:cs="Times New Roman"/>
          <w:sz w:val="22"/>
          <w:szCs w:val="22"/>
        </w:rPr>
      </w:r>
      <w:bookmarkStart w:id="144" w:name="_Ref186219943"/>
      <w:r>
        <w:rPr>
          <w:rFonts w:ascii="Times New Roman" w:hAnsi="Times New Roman" w:eastAsia="Times New Roman" w:cs="Times New Roman"/>
          <w:sz w:val="22"/>
          <w:szCs w:val="22"/>
        </w:rPr>
      </w:r>
      <w:bookmarkStart w:id="145" w:name="_Ref132816300"/>
      <w:r>
        <w:rPr>
          <w:rFonts w:ascii="Times New Roman" w:hAnsi="Times New Roman" w:eastAsia="Times New Roman" w:cs="Times New Roman"/>
          <w:sz w:val="22"/>
          <w:szCs w:val="22"/>
        </w:rPr>
        <w:t xml:space="preserve">Применение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законодательства о национальном режиме</w:t>
      </w:r>
      <w:bookmarkEnd w:id="139"/>
      <w:r>
        <w:rPr>
          <w:rFonts w:ascii="Times New Roman" w:hAnsi="Times New Roman" w:eastAsia="Times New Roman" w:cs="Times New Roman"/>
          <w:sz w:val="22"/>
          <w:szCs w:val="22"/>
        </w:rPr>
      </w:r>
      <w:bookmarkEnd w:id="140"/>
      <w:r>
        <w:rPr>
          <w:rFonts w:ascii="Times New Roman" w:hAnsi="Times New Roman" w:eastAsia="Times New Roman" w:cs="Times New Roman"/>
          <w:sz w:val="22"/>
          <w:szCs w:val="22"/>
        </w:rPr>
      </w:r>
      <w:bookmarkEnd w:id="141"/>
      <w:r>
        <w:rPr>
          <w:rFonts w:ascii="Times New Roman" w:hAnsi="Times New Roman" w:eastAsia="Times New Roman" w:cs="Times New Roman"/>
          <w:sz w:val="22"/>
          <w:szCs w:val="22"/>
        </w:rPr>
      </w:r>
      <w:bookmarkEnd w:id="142"/>
      <w:r>
        <w:rPr>
          <w:rFonts w:ascii="Times New Roman" w:hAnsi="Times New Roman" w:eastAsia="Times New Roman" w:cs="Times New Roman"/>
          <w:sz w:val="22"/>
          <w:szCs w:val="22"/>
        </w:rPr>
      </w:r>
      <w:bookmarkEnd w:id="143"/>
      <w:r>
        <w:rPr>
          <w:rFonts w:ascii="Times New Roman" w:hAnsi="Times New Roman" w:eastAsia="Times New Roman" w:cs="Times New Roman"/>
          <w:sz w:val="22"/>
          <w:szCs w:val="22"/>
        </w:rPr>
      </w:r>
      <w:bookmarkEnd w:id="144"/>
      <w:r>
        <w:rPr>
          <w:rFonts w:ascii="Times New Roman" w:hAnsi="Times New Roman" w:eastAsia="Times New Roman" w:cs="Times New Roman"/>
          <w:sz w:val="22"/>
          <w:szCs w:val="22"/>
        </w:rPr>
      </w:r>
      <w:bookmarkEnd w:id="145"/>
      <w:r>
        <w:rPr>
          <w:rFonts w:ascii="Times New Roman" w:hAnsi="Times New Roman" w:eastAsia="Times New Roman" w:cs="Times New Roman"/>
          <w:sz w:val="22"/>
          <w:szCs w:val="22"/>
        </w:rPr>
      </w:r>
      <w:bookmarkEnd w:id="387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Настоящий подраздел применяется исходя из информации, установленной в подразделе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Если в подразделе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установлен режим запрета закупки иностранной продукции, то не доп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ускается заключение договора на поставку такой продукции (на поставку товара иностранного происхождения / на оказание услуг иностранным лицом / на выполнение работ иностранным лицом) – соответствующая заявка отклоняется при рассмотрении заявок (подразделы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_Ref125362364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4.9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_Ref132797154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4.11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Если в подразделе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установлен режим ограничения закупки иностранной продукции, то не допускается заключение договора на поставку такой продукции, если была подана и по результатам р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ассмотрения заявок допущена заявка с российской продукцией (на поставку товара российского происхождения / на оказание услуг российским лицом / на выполнение работ российским лицом), – соответствующая заявка отклоняется при рассмотрении заявок (подразделы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_Ref125362364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4.9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_Ref132797154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4.11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Если в подразделе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установлен режим преимущества российской продукции, то при оценке и сопоставлении заявок, а также их ранжировке (подраздел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_Ref130455226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4.19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), осуществляется снижение</w:t>
      </w:r>
      <w:r>
        <w:rPr>
          <w:rStyle w:val="1168"/>
          <w:rFonts w:ascii="Times New Roman" w:hAnsi="Times New Roman" w:eastAsia="Times New Roman" w:cs="Times New Roman"/>
          <w:sz w:val="22"/>
          <w:szCs w:val="22"/>
        </w:rPr>
        <w:footnoteReference w:id="9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на 15% (пятнадцать процентов) итоговой стоимости заявки (цены Договора), поданной и допущенной заявки с российской продукцией (на поставку товара российского происхождения / на оказание услуг российским лицом / на выполнение работ российским лицом).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Состав и требования к информации и перечню документов, которые подтверждают страну происхождения товара в целях предоставления национального режима, установлены в </w:t>
      </w:r>
      <w:hyperlink w:tooltip="#Прил01_ТехТребования" w:anchor="Прил01_ТехТребования" w:history="1"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Технических требованиях (Приложение № 1)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388" w:name="_Toc31"/>
      <w:r>
        <w:rPr>
          <w:rFonts w:ascii="Times New Roman" w:hAnsi="Times New Roman" w:eastAsia="Times New Roman" w:cs="Times New Roman"/>
          <w:sz w:val="22"/>
          <w:szCs w:val="22"/>
        </w:rPr>
      </w:r>
      <w:bookmarkStart w:id="153" w:name="_Ref125362658"/>
      <w:r>
        <w:rPr>
          <w:rFonts w:ascii="Times New Roman" w:hAnsi="Times New Roman" w:eastAsia="Times New Roman" w:cs="Times New Roman"/>
          <w:sz w:val="22"/>
          <w:szCs w:val="22"/>
        </w:rPr>
      </w:r>
      <w:bookmarkStart w:id="154" w:name="_Ref125366091"/>
      <w:r>
        <w:rPr>
          <w:rFonts w:ascii="Times New Roman" w:hAnsi="Times New Roman" w:eastAsia="Times New Roman" w:cs="Times New Roman"/>
          <w:sz w:val="22"/>
          <w:szCs w:val="22"/>
        </w:rPr>
      </w:r>
      <w:bookmarkStart w:id="155" w:name="_Ref125367242"/>
      <w:r>
        <w:rPr>
          <w:rFonts w:ascii="Times New Roman" w:hAnsi="Times New Roman" w:eastAsia="Times New Roman" w:cs="Times New Roman"/>
          <w:sz w:val="22"/>
          <w:szCs w:val="22"/>
        </w:rPr>
        <w:t xml:space="preserve">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одведение итогов закупки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пределение Победителя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bookmarkEnd w:id="153"/>
      <w:r>
        <w:rPr>
          <w:rFonts w:ascii="Times New Roman" w:hAnsi="Times New Roman" w:eastAsia="Times New Roman" w:cs="Times New Roman"/>
          <w:sz w:val="22"/>
          <w:szCs w:val="22"/>
        </w:rPr>
      </w:r>
      <w:bookmarkEnd w:id="154"/>
      <w:r>
        <w:rPr>
          <w:rFonts w:ascii="Times New Roman" w:hAnsi="Times New Roman" w:eastAsia="Times New Roman" w:cs="Times New Roman"/>
          <w:sz w:val="22"/>
          <w:szCs w:val="22"/>
        </w:rPr>
      </w:r>
      <w:bookmarkEnd w:id="155"/>
      <w:r>
        <w:rPr>
          <w:rFonts w:ascii="Times New Roman" w:hAnsi="Times New Roman" w:eastAsia="Times New Roman" w:cs="Times New Roman"/>
          <w:sz w:val="22"/>
          <w:szCs w:val="22"/>
        </w:rPr>
      </w:r>
      <w:bookmarkEnd w:id="388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Дата окончания срока подведения итогов закупки указана в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подразделе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 Организатор 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согласованию с Заказчиком вправе, при необходимости, изменить данный срок, официально разместив информацию об этом.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На основании полученных результатов оценки и сопоставления заявок Организатор подводит итоги закупки.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Победителем закупки признается Участник, заявка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которого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заняла 1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(первое) место в ранжировке заявок 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итогам рассмотрения, оценки и сопоставления 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Если к моменту подведения итогов закупки с выбором в качестве Победителя ранее аккредитованного Участника прошло более 6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(шести) календарных месяцев с даты присвоения ему статуса «аккредитован»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/ «аккредитация не требуется»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перед окончательным определением Победителя проводится процедура актуализации статуса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аккредитации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данного Участника. Если 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результатам такой проверки Участник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присвоен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статус «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аккредитован», его заявка отклоняется, 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Закупочная комиссия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имеет право выбрать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в качестве Победителя иного Участника, занявшего следующее после него место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ранжировке заявок, из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числа остальных действующих заявок (при наличии у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него актуального статуса аккредитации).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157" w:name="_Ref125365974"/>
      <w:r>
        <w:rPr>
          <w:rFonts w:ascii="Times New Roman" w:hAnsi="Times New Roman" w:eastAsia="Times New Roman" w:cs="Times New Roman"/>
          <w:sz w:val="22"/>
          <w:szCs w:val="22"/>
        </w:rPr>
        <w:t xml:space="preserve">Решение Закупочной комиссии 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определению Победителя оформляется итоговым протоколом по результатам закупки, в котором, как минимум, указываются</w:t>
      </w:r>
      <w:r>
        <w:rPr>
          <w:rStyle w:val="1168"/>
          <w:rFonts w:ascii="Times New Roman" w:hAnsi="Times New Roman" w:eastAsia="Times New Roman" w:cs="Times New Roman"/>
          <w:sz w:val="22"/>
          <w:szCs w:val="22"/>
        </w:rPr>
        <w:footnoteReference w:id="10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:</w:t>
      </w:r>
      <w:bookmarkEnd w:id="157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дата подписания протокола;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наименования Участников,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заявки которых были допущены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результатам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рассмотрения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вторых частей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 ценовых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предложений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или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их идентификационные номера, присваиваемые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ператором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ЭП;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результаты рассмотрения заявок с указанием, в том числе: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количества заявок, которые были отклонены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(отдельно по результатам рассмотрения первых частей заявок, по результатам рассмотрения вторых частей заявок и ценовых предложений)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оснований отклонения каждой заявки с указанием положений Документации о закупке, которым не соответствует такая заявка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результаты дополнительного рассмотрения 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(при возникновении оснований для отклонения заявок по результатам проведения актуализации статуса аккредитации, если так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процедур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проводились)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указанием, в том числе: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количества заявок, которые были отклонены;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результаты оценки и сопоставления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в том числе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значения (в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баллах), присвоенного каждой заявке по каждому из предусмотренных критериев оценки, установленных в Документации о закупке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порядковые номера каждой заявки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(с указанием стоимостей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(цен Договоров)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не отклоненной по результатам рассмотрения вторых частей заявок и ценовых предложений,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том числе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 учетом результатов актуализации статуса аккредитации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(если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указанн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процедур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проводил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сь)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ранжировке 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наименование Победителя закупки или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динственного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частника несостоявшейся закупки, с которым планируется заключить Договор;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причины, по которым закупка признана несостоявшейся (в случае ее признания таковой),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left="113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после чего Организатор официально размещает его в течение 3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(трех) календарных дней с даты подписания такого протокола.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Победитель дополнительно уведомляется о результатах проводимой закупки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использованием ЭП – уведомление направляется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ператором ЭП согласно Регламенту ЭП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Если между официальным размещением итогового протокола по результатам закупки и подписанием Договора изменится Победитель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например, вследствие уклонения Победителя или потери им статуса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), информация о новом Победителе официально размещается Организатором в том же порядке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Любой Участник после официального размещения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итогового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протокола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 результатам закупки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вправе направить Организатору запрос о разъяснении результатов рассмотрения 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(или) оценки и сопоставления своей заявки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порядке, аналогичном порядку направления запросов на разъяснение Документации о закупке (подраздел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_Ref130394205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4.4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). Организатор в течение 10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(десяти) рабочих дней со дня поступления такого запроса обязан предоставить такому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Участнику соответствующие разъяснения. При этом в отношении иных Участников разъяснения не предоставляются.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389" w:name="_Toc32"/>
      <w:r>
        <w:rPr>
          <w:rFonts w:ascii="Times New Roman" w:hAnsi="Times New Roman" w:eastAsia="Times New Roman" w:cs="Times New Roman"/>
          <w:sz w:val="22"/>
          <w:szCs w:val="22"/>
        </w:rPr>
      </w:r>
      <w:bookmarkStart w:id="158" w:name="_Ref125364149"/>
      <w:r>
        <w:rPr>
          <w:rFonts w:ascii="Times New Roman" w:hAnsi="Times New Roman" w:eastAsia="Times New Roman" w:cs="Times New Roman"/>
          <w:sz w:val="22"/>
          <w:szCs w:val="22"/>
        </w:rPr>
      </w:r>
      <w:bookmarkStart w:id="159" w:name="_Ref125364187"/>
      <w:r>
        <w:rPr>
          <w:rFonts w:ascii="Times New Roman" w:hAnsi="Times New Roman" w:eastAsia="Times New Roman" w:cs="Times New Roman"/>
          <w:sz w:val="22"/>
          <w:szCs w:val="22"/>
        </w:rPr>
      </w:r>
      <w:bookmarkStart w:id="160" w:name="_Ref125365305"/>
      <w:r>
        <w:rPr>
          <w:rFonts w:ascii="Times New Roman" w:hAnsi="Times New Roman" w:eastAsia="Times New Roman" w:cs="Times New Roman"/>
          <w:sz w:val="22"/>
          <w:szCs w:val="22"/>
        </w:rPr>
      </w:r>
      <w:bookmarkStart w:id="161" w:name="_Ref125365570"/>
      <w:r>
        <w:rPr>
          <w:rFonts w:ascii="Times New Roman" w:hAnsi="Times New Roman" w:eastAsia="Times New Roman" w:cs="Times New Roman"/>
          <w:sz w:val="22"/>
          <w:szCs w:val="22"/>
        </w:rPr>
      </w:r>
      <w:bookmarkStart w:id="162" w:name="_Ref125366631"/>
      <w:r>
        <w:rPr>
          <w:rFonts w:ascii="Times New Roman" w:hAnsi="Times New Roman" w:eastAsia="Times New Roman" w:cs="Times New Roman"/>
          <w:sz w:val="22"/>
          <w:szCs w:val="22"/>
        </w:rPr>
      </w:r>
      <w:bookmarkStart w:id="163" w:name="_Ref125366796"/>
      <w:r>
        <w:rPr>
          <w:rFonts w:ascii="Times New Roman" w:hAnsi="Times New Roman" w:eastAsia="Times New Roman" w:cs="Times New Roman"/>
          <w:sz w:val="22"/>
          <w:szCs w:val="22"/>
        </w:rPr>
        <w:t xml:space="preserve">Признание закупки несостоявшейся</w:t>
      </w:r>
      <w:bookmarkEnd w:id="158"/>
      <w:r>
        <w:rPr>
          <w:rFonts w:ascii="Times New Roman" w:hAnsi="Times New Roman" w:eastAsia="Times New Roman" w:cs="Times New Roman"/>
          <w:sz w:val="22"/>
          <w:szCs w:val="22"/>
        </w:rPr>
      </w:r>
      <w:bookmarkEnd w:id="159"/>
      <w:r>
        <w:rPr>
          <w:rFonts w:ascii="Times New Roman" w:hAnsi="Times New Roman" w:eastAsia="Times New Roman" w:cs="Times New Roman"/>
          <w:sz w:val="22"/>
          <w:szCs w:val="22"/>
        </w:rPr>
      </w:r>
      <w:bookmarkEnd w:id="160"/>
      <w:r>
        <w:rPr>
          <w:rFonts w:ascii="Times New Roman" w:hAnsi="Times New Roman" w:eastAsia="Times New Roman" w:cs="Times New Roman"/>
          <w:sz w:val="22"/>
          <w:szCs w:val="22"/>
        </w:rPr>
      </w:r>
      <w:bookmarkEnd w:id="161"/>
      <w:r>
        <w:rPr>
          <w:rFonts w:ascii="Times New Roman" w:hAnsi="Times New Roman" w:eastAsia="Times New Roman" w:cs="Times New Roman"/>
          <w:sz w:val="22"/>
          <w:szCs w:val="22"/>
        </w:rPr>
      </w:r>
      <w:bookmarkEnd w:id="162"/>
      <w:r>
        <w:rPr>
          <w:rFonts w:ascii="Times New Roman" w:hAnsi="Times New Roman" w:eastAsia="Times New Roman" w:cs="Times New Roman"/>
          <w:sz w:val="22"/>
          <w:szCs w:val="22"/>
        </w:rPr>
      </w:r>
      <w:bookmarkEnd w:id="163"/>
      <w:r>
        <w:rPr>
          <w:rFonts w:ascii="Times New Roman" w:hAnsi="Times New Roman" w:eastAsia="Times New Roman" w:cs="Times New Roman"/>
          <w:sz w:val="22"/>
          <w:szCs w:val="22"/>
        </w:rPr>
      </w:r>
      <w:bookmarkEnd w:id="389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Закупка признается несостоявшейся в следующих случаях: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если по окончанию срока подачи заявок поступило менее 2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(двух) заявок (с учетом возможных отзывов заявок);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по результатам рассмотрения первых частей заявок Закупочной комиссией принято решение о признании менее 2 (двух) заявок соответствующими требованиям Документации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закупки;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по результатам рассмотрения вторых частей заявок и ценовых предложений Закупочной комиссией принято решение о признании менее 2 (двух) заявок соответствующими требованиям Документации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закупки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Указанные обстоятельства в случае их наступления фиксируются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соответствующем протоколе, оформляемом по результатам проведения закупки (или ее этапа).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случае признания закупки несостоявшейся Заказчик вправе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(с учетом условий, предусмотренных Положением о закупке)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принять решение о проведении повторной закупки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том числе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возможностью снятия признака закупки только среди субъектов МСП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заключить договор с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динственным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частником несостоявшейся закупки (раздел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_Ref126142429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5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отказаться от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дополнительного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повторного проведения данной закупки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(при отсутствии заявок, соответствующих установленным требованиям, по результатам повторного проведения закупки)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390" w:name="_Toc33"/>
      <w:r>
        <w:rPr>
          <w:rFonts w:ascii="Times New Roman" w:hAnsi="Times New Roman" w:eastAsia="Times New Roman" w:cs="Times New Roman"/>
          <w:sz w:val="22"/>
          <w:szCs w:val="22"/>
        </w:rPr>
      </w:r>
      <w:bookmarkStart w:id="165" w:name="_Ref126141962"/>
      <w:r>
        <w:rPr>
          <w:rFonts w:ascii="Times New Roman" w:hAnsi="Times New Roman" w:eastAsia="Times New Roman" w:cs="Times New Roman"/>
          <w:sz w:val="22"/>
          <w:szCs w:val="22"/>
        </w:rPr>
      </w:r>
      <w:bookmarkStart w:id="166" w:name="_Ref132816134"/>
      <w:r>
        <w:rPr>
          <w:rFonts w:ascii="Times New Roman" w:hAnsi="Times New Roman" w:eastAsia="Times New Roman" w:cs="Times New Roman"/>
          <w:sz w:val="22"/>
          <w:szCs w:val="22"/>
        </w:rPr>
      </w:r>
      <w:bookmarkStart w:id="167" w:name="_Ref132816141"/>
      <w:r>
        <w:rPr>
          <w:rFonts w:ascii="Times New Roman" w:hAnsi="Times New Roman" w:eastAsia="Times New Roman" w:cs="Times New Roman"/>
          <w:sz w:val="22"/>
          <w:szCs w:val="22"/>
        </w:rPr>
        <w:t xml:space="preserve">Отказ от проведения закупки</w:t>
      </w:r>
      <w:bookmarkEnd w:id="165"/>
      <w:r>
        <w:rPr>
          <w:rFonts w:ascii="Times New Roman" w:hAnsi="Times New Roman" w:eastAsia="Times New Roman" w:cs="Times New Roman"/>
          <w:sz w:val="22"/>
          <w:szCs w:val="22"/>
        </w:rPr>
        <w:t xml:space="preserve"> (отмена закупки)</w:t>
      </w:r>
      <w:bookmarkEnd w:id="166"/>
      <w:r>
        <w:rPr>
          <w:rFonts w:ascii="Times New Roman" w:hAnsi="Times New Roman" w:eastAsia="Times New Roman" w:cs="Times New Roman"/>
          <w:sz w:val="22"/>
          <w:szCs w:val="22"/>
        </w:rPr>
      </w:r>
      <w:bookmarkEnd w:id="167"/>
      <w:r>
        <w:rPr>
          <w:rFonts w:ascii="Times New Roman" w:hAnsi="Times New Roman" w:eastAsia="Times New Roman" w:cs="Times New Roman"/>
          <w:sz w:val="22"/>
          <w:szCs w:val="22"/>
        </w:rPr>
      </w:r>
      <w:bookmarkEnd w:id="390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Организатор имеет право отказаться от проведения закупки не позднее окончания срока подачи 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не неся никакой ответственности перед Участниками или третьими лицами, которым такое действие может принести убытки.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гражданским законодательством.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391" w:name="_Toc34"/>
      <w:r>
        <w:rPr>
          <w:rFonts w:ascii="Times New Roman" w:hAnsi="Times New Roman" w:eastAsia="Times New Roman" w:cs="Times New Roman"/>
          <w:sz w:val="22"/>
          <w:szCs w:val="22"/>
        </w:rPr>
      </w:r>
      <w:bookmarkStart w:id="169" w:name="_Ref130455226"/>
      <w:r>
        <w:rPr>
          <w:rFonts w:ascii="Times New Roman" w:hAnsi="Times New Roman" w:eastAsia="Times New Roman" w:cs="Times New Roman"/>
          <w:sz w:val="22"/>
          <w:szCs w:val="22"/>
        </w:rPr>
      </w:r>
      <w:bookmarkStart w:id="170" w:name="_Ref130225422"/>
      <w:r>
        <w:rPr>
          <w:rFonts w:ascii="Times New Roman" w:hAnsi="Times New Roman" w:eastAsia="Times New Roman" w:cs="Times New Roman"/>
          <w:sz w:val="22"/>
          <w:szCs w:val="22"/>
        </w:rPr>
      </w:r>
      <w:bookmarkStart w:id="171" w:name="_Ref125361212"/>
      <w:r>
        <w:rPr>
          <w:rFonts w:ascii="Times New Roman" w:hAnsi="Times New Roman" w:eastAsia="Times New Roman" w:cs="Times New Roman"/>
          <w:sz w:val="22"/>
          <w:szCs w:val="22"/>
        </w:rPr>
      </w:r>
      <w:bookmarkStart w:id="172" w:name="_Ref125362671"/>
      <w:r>
        <w:rPr>
          <w:rFonts w:ascii="Times New Roman" w:hAnsi="Times New Roman" w:eastAsia="Times New Roman" w:cs="Times New Roman"/>
          <w:sz w:val="22"/>
          <w:szCs w:val="22"/>
        </w:rPr>
      </w:r>
      <w:bookmarkStart w:id="173" w:name="_Ref125363439"/>
      <w:r>
        <w:rPr>
          <w:rFonts w:ascii="Times New Roman" w:hAnsi="Times New Roman" w:eastAsia="Times New Roman" w:cs="Times New Roman"/>
          <w:sz w:val="22"/>
          <w:szCs w:val="22"/>
        </w:rPr>
      </w:r>
      <w:bookmarkStart w:id="174" w:name="_Ref125366769"/>
      <w:r>
        <w:rPr>
          <w:rFonts w:ascii="Times New Roman" w:hAnsi="Times New Roman" w:eastAsia="Times New Roman" w:cs="Times New Roman"/>
          <w:sz w:val="22"/>
          <w:szCs w:val="22"/>
        </w:rPr>
      </w:r>
      <w:bookmarkStart w:id="175" w:name="_Ref125367083"/>
      <w:r>
        <w:rPr>
          <w:rFonts w:ascii="Times New Roman" w:hAnsi="Times New Roman" w:eastAsia="Times New Roman" w:cs="Times New Roman"/>
          <w:sz w:val="22"/>
          <w:szCs w:val="22"/>
        </w:rPr>
      </w:r>
      <w:bookmarkStart w:id="176" w:name="_Ref125367087"/>
      <w:r>
        <w:rPr>
          <w:rFonts w:ascii="Times New Roman" w:hAnsi="Times New Roman" w:eastAsia="Times New Roman" w:cs="Times New Roman"/>
          <w:sz w:val="22"/>
          <w:szCs w:val="22"/>
        </w:rPr>
        <w:t xml:space="preserve">Особенности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проведения закупки с необходимостью обеспечения заявки</w:t>
      </w:r>
      <w:bookmarkEnd w:id="169"/>
      <w:r>
        <w:rPr>
          <w:rFonts w:ascii="Times New Roman" w:hAnsi="Times New Roman" w:eastAsia="Times New Roman" w:cs="Times New Roman"/>
          <w:sz w:val="22"/>
          <w:szCs w:val="22"/>
        </w:rPr>
      </w:r>
      <w:bookmarkEnd w:id="391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Нормы настоящего подраздела применяются, если подразделом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предусмотрена обязанность Участников предоставить обеспечение заявки на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участие в закупке.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Настоящий подраздел дополняет или изменяет порядок проведения закупки.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Обязательства Участников, связанные с подачей заявок, обеспечиваются в форме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порядке и размере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соответствии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подразделом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Выбор формы (способа) обеспечения из числа предусмотренных осуществляется Участниками самостоятельно.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случае выбора Участником обеспечения заявки в виде денежных средств, такие денежные средства в требуемом размере должны быть внесены до момента окончания срока подачи заявок (подраздел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 на специальный банковский счет, открытый Участником в банке, включенном в перечень, определенный Правительством Российской Федерации в соответствии с Законом 44-ФЗ и размещенный на официальном сайте Министерства финансов Российской Федерации</w:t>
      </w:r>
      <w:r>
        <w:rPr>
          <w:rStyle w:val="1168"/>
          <w:rFonts w:ascii="Times New Roman" w:hAnsi="Times New Roman" w:eastAsia="Times New Roman" w:cs="Times New Roman"/>
          <w:sz w:val="22"/>
          <w:szCs w:val="22"/>
        </w:rPr>
        <w:footnoteReference w:id="11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 на сайте ЭП, с использованием которой проводится настоящая закупка, при условии соответствия банка требованиям 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оссийской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Ф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едерации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а также наличия соответствующего соглашения об интеграции и обмене информацией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ператором ЭП.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течение 1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(одного) часа с момента окончания срока подачи 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(подраздел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ператор ЭП направляет в банк, в котором Участником открыт специальный банковский счет, информацию о таком Участнике и размере денежных средств, необходимом для обеспечения заявки. Банк в течение 1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(одного)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ператора ЭП.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Блокирование денежных средств не осуществляется в случае отсутствия на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специальном банковском счете Участника денежных средств в требуемом размере, либо в случае приостановления операций по такому счету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соответствии с законодательством, о чем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ператор ЭП информируется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течение 1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(одного) часа.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сли блокирование денежных средств не может быть осуществлено,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ператор ЭП возвращает заявку подавшему ее Участнику в течение 1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(одного) часа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момента получения соответствующей информации от банка. Такая заявка автоматически отклоняется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ператором ЭП от дальнейшего участия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закупке, а сведения о ней не направляются в адрес Организатора.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случае выбора Участником обеспечения заявки путем предоставления независимой гарантии, такая независимая гарантия составляется с учетом требований статей 368 – 379 ГК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РФ, а также следующих условий: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езависимая гарантия должна быть безотзывной и безусловной (гарантия по первому требованию);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умма независимой гарантии должна быть выражена в российских рублях и составлять не менее суммы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установленной в подразделе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б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енефициаром в независимой гарантии должен быть указан Заказчик, принципалом – Участник, гарантом – организация, выдавшая независимую гарантию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подпункт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 _Ref132716380 \d ( \h \w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(4.18.8(л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независимой гарантии должно быть предусмотрено условие об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обязанности гаранта уплатить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аказчику (бенефициару) денежную сумму по независимой гарантии не позднее 10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(десяти) рабочих дней со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дня, следующего за днем получения гарантом требования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аказчика (бенефициара), соответствующего условиям такой независимой гарантии, при отсутствии предусмотренных ГК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РФ оснований для отказа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удовлетворении этого требования;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независимой гарантии должен быть указан перечень документов, подлежащих представлению заказчиком гаранту одновременно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требованием об уплате денежной суммы по независимой гарантии,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случае установления такого перечня Правительством Российской Федерации;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независимой гарантии должен быть указан срок действия независимой гарантии, который не может составлять менее одного месяца с даты окончания срока подачи 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(подраздел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езависимая гарантия не должна содержать условие о предоставлении Заказчиком гаранту судебных актов, подтверждающих неисполнение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частником обязательств, обеспечиваемых независимой гарантией;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независимой гарантии должно быть предусмотрено безусловное право Заказчика на истребование суммы независимой гарантии полностью или частично, в случае нарушения Участником закупки своих обязательств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ункт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_Ref132716182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4.18.14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езависимая гарантия должна содержать условия, предусмотренные Законом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223-ФЗ, а также соответствовать дополнительным требованиям 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независимой гарантии, используемой для целей проведения конкурентных закупок с участием субъектов МСП, устанавливаемым Правительством Р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оссийской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Ф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едерации;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независимой гарантии не должно быть условий или требований, противоречащих вышеизложенному или делающих вышеизложенное неисполнимым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178" w:name="_Ref132716380"/>
      <w:r>
        <w:rPr>
          <w:rFonts w:ascii="Times New Roman" w:hAnsi="Times New Roman" w:eastAsia="Times New Roman" w:cs="Times New Roman"/>
          <w:sz w:val="22"/>
          <w:szCs w:val="22"/>
        </w:rPr>
        <w:t xml:space="preserve">н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езависимая гарантия должна быть выдана организацией из числа указанных в части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 статьи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45 Закона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44-ФЗ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bookmarkEnd w:id="178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езависимая гарантия должна быть подчинена материальному праву Российской Федерации и регулироваться «Унифицированными правилами для гарантий по требованию, включая типовые формы (URDG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758)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убликация Международной торговой палаты №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758). Редакция 2010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года» в той мере, в какой указанные правила не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противоречат императивным нормам законодательства, а также предусматривать Арбитражный суд по месту нахождения Заказчика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качестве органа, компетентного разрешать споры из независимой гарантии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нформация о независимой гарантии должна быть включена в реестр независимых гарантий, предусмотренный частью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8 статьи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t xml:space="preserve">4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5 Закона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44</w:t>
      </w:r>
      <w:r>
        <w:rPr>
          <w:rFonts w:ascii="Times New Roman" w:hAnsi="Times New Roman" w:eastAsia="Times New Roman" w:cs="Times New Roman"/>
          <w:sz w:val="22"/>
          <w:szCs w:val="22"/>
        </w:rPr>
        <w:noBreakHyphen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ФЗ.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случае выбора Учас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тником обеспечения заявки путем предоставления независимой гарантии он должен предоставить в составе своей заявки копию такой гарантии, подтверждающую наличие обеспечения заявки в требуемом размере и соответствующую требованиям к условиям такой гарантии.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противном случае обеспечение заявки считается невнесенным, 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Организатор обязан отклонить заявку такого Участника.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Несоответствие независимой гарантии, предоставленной Участником закупки, предусмотренным настоящей Документацией о закупке требованиям, является основанием для отклонения заявки такого Участника.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При многолотовой закупк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(подраздел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_Ref149317181 \n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4.19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 обеспечение исполнения обязательств Участника оформляется на сумму, равную суммарной стоимости обеспечения по всем лотам, на которые Участник подает заявку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 также допускается внесение обеспечения отдельно по каждому из лотов. Удержание Организатором обеспечения может производиться только по тем лотам, на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которые Участник подал заявку и по которым он был признан Победителем.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Подать заявку (принять участие в закупке) могут только Участники, 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достав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вшие надлежащее обеспечение их заявок.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Требование об обеспечении заявки в равной мере распространяется на всех Участников.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179" w:name="_Ref132716182"/>
      <w:r>
        <w:rPr>
          <w:rFonts w:ascii="Times New Roman" w:hAnsi="Times New Roman" w:eastAsia="Times New Roman" w:cs="Times New Roman"/>
          <w:sz w:val="22"/>
          <w:szCs w:val="22"/>
        </w:rPr>
        <w:t xml:space="preserve">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Участника:</w:t>
      </w:r>
      <w:bookmarkEnd w:id="179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обязательство заключить Договор в установленном Документацией о закупке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порядке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раздел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_Ref130224037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5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), в том числе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предоставить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Сведения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цепочке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собственников, включая бенефициаров (в том числе конечных) (</w:t>
      </w:r>
      <w:hyperlink w:tooltip="#Прил05_ФормыПобедителя" w:anchor="Прил05_ФормыПобедителя" w:history="1"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Приложение № </w:t>
        </w:r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5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),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а также предоставить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иные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документы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соответствии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условиями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подраздела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_Ref138341423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5.2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обязательство предоставить до заключения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договора Заказчику обеспечение исполнения договора – если </w:t>
      </w:r>
      <w:hyperlink w:tooltip="#Прил02_ПроектДоговора" w:anchor="Прил02_ПроектДоговора" w:history="1"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Проект договора (Приложение № 2)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 предусматривает обеспечение исполнения договора с соответствующим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обязательствами (в порядке и сроки, предусмотренные </w:t>
      </w:r>
      <w:hyperlink w:tooltip="#Прил02_ПроектДоговора" w:anchor="Прил02_ПроектДоговора" w:history="1"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Проектом договора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).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случае невыполнения Победителем указанных выше обязательств Организатор вправе удержать обеспечение заявки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путем обращения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соответствующую организацию-гарант.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При этом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случае предоставления Участником обеспечения в виде денежных средств, сумма обеспечения заявки, внесенная на специальный банковский счет, перечисляется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б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анком-гарантом на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счет Заказчика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(подраздел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Возврат обеспечения заявки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(в случае предоставления Участником обеспечения в виде денежных средств)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осуществляется Организатором в срок не более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7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семи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 рабочих дней с даты: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принятия решения об отказе от проведения закупки – всем Участникам, подавшим заявки к моменту принятия такого решения;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поступления уведомления об отзыве заявки в случаях, когда такой отзыв осуществлен в установленные в Документации о закупке сроки – Участнику, отозвавшему заявку;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официального размещения итогового протокола по результатам закупки – всем Участникам, кроме Победителя;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заключения Договора по результатам закупки – Победителю, с которым заключен Договор;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признания закупки несостоявшейся – Участнику, которому обеспечение не было возвращено по иным основаниям.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Возврат обеспечения заявки может быть задержан в случае поступления в установленном законодательством порядке жалобы по закупке (подраздел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_Ref125363536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2.3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 – на время рассмотрения жалобы.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392" w:name="_Toc35"/>
      <w:r>
        <w:rPr>
          <w:rFonts w:ascii="Times New Roman" w:hAnsi="Times New Roman" w:eastAsia="Times New Roman" w:cs="Times New Roman"/>
          <w:sz w:val="22"/>
          <w:szCs w:val="22"/>
        </w:rPr>
      </w:r>
      <w:bookmarkStart w:id="180" w:name="_Ref149317181"/>
      <w:r>
        <w:rPr>
          <w:rFonts w:ascii="Times New Roman" w:hAnsi="Times New Roman" w:eastAsia="Times New Roman" w:cs="Times New Roman"/>
          <w:sz w:val="22"/>
          <w:szCs w:val="22"/>
        </w:rPr>
        <w:t xml:space="preserve">Особенности проведения 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ноголотов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закупк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bookmarkEnd w:id="170"/>
      <w:r>
        <w:rPr>
          <w:rFonts w:ascii="Times New Roman" w:hAnsi="Times New Roman" w:eastAsia="Times New Roman" w:cs="Times New Roman"/>
          <w:sz w:val="22"/>
          <w:szCs w:val="22"/>
        </w:rPr>
      </w:r>
      <w:bookmarkEnd w:id="180"/>
      <w:r>
        <w:rPr>
          <w:rFonts w:ascii="Times New Roman" w:hAnsi="Times New Roman" w:eastAsia="Times New Roman" w:cs="Times New Roman"/>
          <w:sz w:val="22"/>
          <w:szCs w:val="22"/>
        </w:rPr>
      </w:r>
      <w:bookmarkEnd w:id="392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Нормы настоящего подраздела применяются, если подразделом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предусмотрено проведение многолотовой закупки.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Настоящий подраздел дополняет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или изменяет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порядок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проведения закупки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случае противоречий между требованиями настоящего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подраздела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порядка проведения закупки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или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с инструкциями 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подготовке заяв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применяются требования настоящего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под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раздела.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Многолотовая закупка может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проводиться как для одного, так и для нескольких Заказчиков. Для всех лотов выпускается общее Извещение, Документация о закупке, решения по каждому лоту принимает одна и та же Закупочная комиссия. Любые положения Документации о закупке, если в них прямо не</w: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указан номер конкретного лота, относятся ко всем лотам одновременно.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Участник может подать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одну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заявку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любой лот, любые несколько лотов или все лоты по собственному выбору.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При этом не допускается разбиение отдельного лота на части, то есть подача заявки на часть лота по отдельным видам или объемам продукции.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многолотовой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закупке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подача Участником 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одной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заявке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на каждый лот, не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считается подач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второй заявки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закупку.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случае подачи заявки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на несколько лотов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дополнительно должны быть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соблюдены следующие требования: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Письмо о подаче оферты (форма 2)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</w:t>
      </w:r>
      <w:hyperlink w:tooltip="#Прил04_ФормыЗаявки" w:anchor="Прил04_ФормыЗаявки" w:history="1"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Приложение № </w:t>
        </w:r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4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должно содержать указание номера и названия каждого лота;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Коммерческое предложение (форма 3), Техническое предложение (форма 4), Календарный график (форма 5)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План распределения объемов поставки продукции (форма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11)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</w:t>
      </w:r>
      <w:hyperlink w:tooltip="#Прил04_ФормыЗаявки" w:anchor="Прил04_ФормыЗаявки" w:history="1"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Приложение № </w:t>
        </w:r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4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,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должны быть подготовлены отдельно 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каждому из лотов с указанием номера и названия лота.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Решения, принимаемые в ходе процедуры закупки, в том числе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решения в рамках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рассмотрени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(первых частей заявок, вторых частей заявок и ценовых предложений)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оценк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 и сопоставления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заявок, определени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Победителя, признани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закупки несостоявшейся, отказ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от дальнейшего ее проведения и т.д., осуществляются раздельно и независимо по каждому из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лотов. При этом Организатор вправе оформить 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каждому лоту отдельный протокол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закупки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или сформировать общий по всем лотам протокол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закупки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который в отношении каждого лота вносятся сведения, подлежащие официальному размещению.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393" w:name="_Toc36"/>
      <w:r>
        <w:rPr>
          <w:rFonts w:ascii="Times New Roman" w:hAnsi="Times New Roman" w:eastAsia="Times New Roman" w:cs="Times New Roman"/>
          <w:sz w:val="22"/>
          <w:szCs w:val="22"/>
        </w:rPr>
      </w:r>
      <w:bookmarkStart w:id="186" w:name="_Ref126142429"/>
      <w:r>
        <w:rPr>
          <w:rFonts w:ascii="Times New Roman" w:hAnsi="Times New Roman" w:eastAsia="Times New Roman" w:cs="Times New Roman"/>
          <w:sz w:val="22"/>
          <w:szCs w:val="22"/>
        </w:rPr>
      </w:r>
      <w:bookmarkStart w:id="187" w:name="_Ref130224037"/>
      <w:r>
        <w:rPr>
          <w:rFonts w:ascii="Times New Roman" w:hAnsi="Times New Roman" w:eastAsia="Times New Roman" w:cs="Times New Roman"/>
          <w:sz w:val="22"/>
          <w:szCs w:val="22"/>
        </w:rPr>
        <w:t xml:space="preserve">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орядок заключения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оговора</w:t>
      </w:r>
      <w:bookmarkEnd w:id="171"/>
      <w:r>
        <w:rPr>
          <w:rFonts w:ascii="Times New Roman" w:hAnsi="Times New Roman" w:eastAsia="Times New Roman" w:cs="Times New Roman"/>
          <w:sz w:val="22"/>
          <w:szCs w:val="22"/>
        </w:rPr>
      </w:r>
      <w:bookmarkEnd w:id="172"/>
      <w:r>
        <w:rPr>
          <w:rFonts w:ascii="Times New Roman" w:hAnsi="Times New Roman" w:eastAsia="Times New Roman" w:cs="Times New Roman"/>
          <w:sz w:val="22"/>
          <w:szCs w:val="22"/>
        </w:rPr>
      </w:r>
      <w:bookmarkEnd w:id="173"/>
      <w:r>
        <w:rPr>
          <w:rFonts w:ascii="Times New Roman" w:hAnsi="Times New Roman" w:eastAsia="Times New Roman" w:cs="Times New Roman"/>
          <w:sz w:val="22"/>
          <w:szCs w:val="22"/>
        </w:rPr>
      </w:r>
      <w:bookmarkEnd w:id="174"/>
      <w:r>
        <w:rPr>
          <w:rFonts w:ascii="Times New Roman" w:hAnsi="Times New Roman" w:eastAsia="Times New Roman" w:cs="Times New Roman"/>
          <w:sz w:val="22"/>
          <w:szCs w:val="22"/>
        </w:rPr>
      </w:r>
      <w:bookmarkEnd w:id="175"/>
      <w:r>
        <w:rPr>
          <w:rFonts w:ascii="Times New Roman" w:hAnsi="Times New Roman" w:eastAsia="Times New Roman" w:cs="Times New Roman"/>
          <w:sz w:val="22"/>
          <w:szCs w:val="22"/>
        </w:rPr>
      </w:r>
      <w:bookmarkEnd w:id="176"/>
      <w:r>
        <w:rPr>
          <w:rFonts w:ascii="Times New Roman" w:hAnsi="Times New Roman" w:eastAsia="Times New Roman" w:cs="Times New Roman"/>
          <w:sz w:val="22"/>
          <w:szCs w:val="22"/>
        </w:rPr>
      </w:r>
      <w:bookmarkEnd w:id="186"/>
      <w:r>
        <w:rPr>
          <w:rFonts w:ascii="Times New Roman" w:hAnsi="Times New Roman" w:eastAsia="Times New Roman" w:cs="Times New Roman"/>
          <w:sz w:val="22"/>
          <w:szCs w:val="22"/>
        </w:rPr>
      </w:r>
      <w:bookmarkEnd w:id="187"/>
      <w:r>
        <w:rPr>
          <w:rFonts w:ascii="Times New Roman" w:hAnsi="Times New Roman" w:eastAsia="Times New Roman" w:cs="Times New Roman"/>
          <w:sz w:val="22"/>
          <w:szCs w:val="22"/>
        </w:rPr>
      </w:r>
      <w:bookmarkEnd w:id="393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394" w:name="_Toc37"/>
      <w:r>
        <w:rPr>
          <w:rFonts w:ascii="Times New Roman" w:hAnsi="Times New Roman" w:eastAsia="Times New Roman" w:cs="Times New Roman"/>
          <w:sz w:val="22"/>
          <w:szCs w:val="22"/>
        </w:rPr>
      </w:r>
      <w:bookmarkStart w:id="189" w:name="_Ref125366947"/>
      <w:r>
        <w:rPr>
          <w:rFonts w:ascii="Times New Roman" w:hAnsi="Times New Roman" w:eastAsia="Times New Roman" w:cs="Times New Roman"/>
          <w:sz w:val="22"/>
          <w:szCs w:val="22"/>
        </w:rPr>
      </w:r>
      <w:bookmarkStart w:id="190" w:name="_Ref125368755"/>
      <w:r>
        <w:rPr>
          <w:rFonts w:ascii="Times New Roman" w:hAnsi="Times New Roman" w:eastAsia="Times New Roman" w:cs="Times New Roman"/>
          <w:sz w:val="22"/>
          <w:szCs w:val="22"/>
        </w:rPr>
        <w:t xml:space="preserve">Общие положения</w:t>
      </w:r>
      <w:bookmarkEnd w:id="394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Нормы настоящего раздела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_Ref126142429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5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также применяются в отношении Единственного участника несостоявшейся закупки, с которым принято решение о заключении договора (к нему применяются те же нормы, что и в отношении Победителя).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395" w:name="_Toc38"/>
      <w:r>
        <w:rPr>
          <w:rFonts w:ascii="Times New Roman" w:hAnsi="Times New Roman" w:eastAsia="Times New Roman" w:cs="Times New Roman"/>
          <w:sz w:val="22"/>
          <w:szCs w:val="22"/>
        </w:rPr>
      </w:r>
      <w:bookmarkStart w:id="192" w:name="_Ref138341423"/>
      <w:r>
        <w:rPr>
          <w:rFonts w:ascii="Times New Roman" w:hAnsi="Times New Roman" w:eastAsia="Times New Roman" w:cs="Times New Roman"/>
          <w:sz w:val="22"/>
          <w:szCs w:val="22"/>
        </w:rPr>
        <w:t xml:space="preserve">Заключение Договора</w:t>
      </w:r>
      <w:bookmarkEnd w:id="189"/>
      <w:r>
        <w:rPr>
          <w:rFonts w:ascii="Times New Roman" w:hAnsi="Times New Roman" w:eastAsia="Times New Roman" w:cs="Times New Roman"/>
          <w:sz w:val="22"/>
          <w:szCs w:val="22"/>
        </w:rPr>
      </w:r>
      <w:bookmarkEnd w:id="190"/>
      <w:r>
        <w:rPr>
          <w:rFonts w:ascii="Times New Roman" w:hAnsi="Times New Roman" w:eastAsia="Times New Roman" w:cs="Times New Roman"/>
          <w:sz w:val="22"/>
          <w:szCs w:val="22"/>
        </w:rPr>
      </w:r>
      <w:bookmarkEnd w:id="192"/>
      <w:r>
        <w:rPr>
          <w:rFonts w:ascii="Times New Roman" w:hAnsi="Times New Roman" w:eastAsia="Times New Roman" w:cs="Times New Roman"/>
          <w:sz w:val="22"/>
          <w:szCs w:val="22"/>
        </w:rPr>
      </w:r>
      <w:bookmarkEnd w:id="395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194" w:name="_Ref125362935"/>
      <w:r>
        <w:rPr>
          <w:rFonts w:ascii="Times New Roman" w:hAnsi="Times New Roman" w:eastAsia="Times New Roman" w:cs="Times New Roman"/>
          <w:sz w:val="22"/>
          <w:szCs w:val="22"/>
        </w:rPr>
      </w:r>
      <w:bookmarkStart w:id="195" w:name="_Ref130293821"/>
      <w:r>
        <w:rPr>
          <w:rFonts w:ascii="Times New Roman" w:hAnsi="Times New Roman" w:eastAsia="Times New Roman" w:cs="Times New Roman"/>
          <w:sz w:val="22"/>
          <w:szCs w:val="22"/>
        </w:rPr>
        <w:t xml:space="preserve">Договор между Заказчиком и Победителем заключается не ранее чем через 10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(десять) календарных дней и не позднее чем через 20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(двадцать) календарных дней с даты официального размещения итогового протокола 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результатам закупки.</w:t>
      </w:r>
      <w:bookmarkEnd w:id="194"/>
      <w:r>
        <w:rPr>
          <w:rFonts w:ascii="Times New Roman" w:hAnsi="Times New Roman" w:eastAsia="Times New Roman" w:cs="Times New Roman"/>
          <w:sz w:val="22"/>
          <w:szCs w:val="22"/>
        </w:rPr>
      </w:r>
      <w:bookmarkEnd w:id="195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Договор не может быть заключен, если это запрещено законодательством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национальном режиме в случаях, установленных в подразделе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_Ref186219943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4.14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196" w:name="_Ref125363464"/>
      <w:r>
        <w:rPr>
          <w:rFonts w:ascii="Times New Roman" w:hAnsi="Times New Roman" w:eastAsia="Times New Roman" w:cs="Times New Roman"/>
          <w:sz w:val="22"/>
          <w:szCs w:val="22"/>
        </w:rPr>
        <w:t xml:space="preserve">В целях заключения Договора Участник, признанный Победителем, обязан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срок не позднее 3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(трех) рабочих дней с даты официального размещения Организатором итогового протокола по результатам закупки, направить 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адресу,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определенному в подразделе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_Ref125359973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как 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есто подачи документов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отношении цепочки собственников, включая конечных бенефициаров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Справку о цепочке собственников, включая бенефициаров (в том числе конечных), по форме в соответствии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hyperlink w:tooltip="#Прил05_ФормыПобедителя" w:anchor="Прил05_ФормыПобедителя" w:history="1"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Приложением № </w:t>
        </w:r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5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,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с приложением подтверждающих документов согласно перечню, установленному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Приложении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 к указанной справке. Данные документы должны быть предоставлены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бумажном виде и на электронном носителе в отдельном запечатанном конверте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надписью «Документы Победителя о цепочке собственников».</w:t>
      </w:r>
      <w:bookmarkEnd w:id="196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срок не позднее 3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(трех) рабочих дней с даты официального размещения Организатором итогового протокола по результатам закупки, Победитель обязан предоставить Заказчику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(скан-копия в формате </w: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t xml:space="preserve">pdf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Заверение об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обстоятельствах, представляющ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 собой гарантийное письмо об отсутствии обстоятельств,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препятствующих 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Приложением № 5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197" w:name="_Ref125551072"/>
      <w:r>
        <w:rPr>
          <w:rFonts w:ascii="Times New Roman" w:hAnsi="Times New Roman" w:eastAsia="Times New Roman" w:cs="Times New Roman"/>
          <w:sz w:val="22"/>
          <w:szCs w:val="22"/>
        </w:rPr>
        <w:t xml:space="preserve">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еред заключением Договора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Победитель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обязан предоставить Заказчику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не позднее сроков, установленных в пункте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_Ref130293821 \w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5.2.1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в целях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подтверждения своего соответствия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обязательному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требовани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ю к Участникам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указанн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пункте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_Ref125552433 \w \h </w:instrText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подраздела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_Ref125361435 \w \h </w:instrText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8.2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</w:t>
      </w:r>
      <w:hyperlink w:tooltip="#Прил03_ТребованияУчастникам" w:anchor="Прил03_ТребованияУчастникам" w:history="1"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Приложение № 3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следующие документы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(скан-копии в формате </w: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t xml:space="preserve">pdf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:</w:t>
      </w:r>
      <w:bookmarkEnd w:id="197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для юридического лица: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опия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става в действующей редакции с отметкой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ИФНС либо копия нотариально заверенного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става (с отметкой нотариуса);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198" w:name="_Ref125638686"/>
      <w:r>
        <w:rPr>
          <w:rFonts w:ascii="Times New Roman" w:hAnsi="Times New Roman" w:eastAsia="Times New Roman" w:cs="Times New Roman"/>
          <w:sz w:val="22"/>
          <w:szCs w:val="22"/>
        </w:rPr>
        <w:t xml:space="preserve">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опии документов, подтверждающих полномочия единоличного исполнительного органа Участника или Управляющей компании (протоколы об избрании единоличного исполнительного органа или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передаче полномочий Управляющей компании), заверенные Победителем;</w:t>
      </w:r>
      <w:bookmarkEnd w:id="198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дополнительно предоставляется машиночитаемая доверенность (посредством информационных систем, на которых проводится закупка) на физическое лицо, которое подписывает договор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для лиц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зарегистрированн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ого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вне Российской Федерации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: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ыписк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из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торгового реестра страны регистрации иностранного Участника;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д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ля физическ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ого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лиц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а: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нотариально заверенная копия всех страниц документа, удостоверяющего личность (паспорта);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сли в соответствии с законодательством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ставом Заказчика потребуется предварительное одобрение заключаемого на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предложенных Победителем условиях Договора компетентными органами управления Заказчика (Общим собранием акционеров, Советом директоров и т.п.), Договор с Победителем заключается не позднее чем через 5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(пять) календарных дней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даты указанного одобрения.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случае обжалования в антимонопольном органе результатов закупки Договор заключается не позднее чем через 5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(пять) календарных дней с даты вынесения решения антимонопольного органа по результатам такого обжалования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(за исключением случая возврата на предыдущий этап закупки)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200" w:name="_Ref132288402"/>
      <w:r>
        <w:rPr>
          <w:rFonts w:ascii="Times New Roman" w:hAnsi="Times New Roman" w:eastAsia="Times New Roman" w:cs="Times New Roman"/>
          <w:sz w:val="22"/>
          <w:szCs w:val="22"/>
        </w:rPr>
        <w:t xml:space="preserve">При определении условий Договора по результатам закупки используются следующие документы с соблюдением указанной иерархии в порядке перечисления (в случае их противоречия):</w:t>
      </w:r>
      <w:bookmarkEnd w:id="200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итоговый протокол по результатам закупки;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Извещение и Документация о закупке со всеми изменениями;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заявка Победителя со всеми дополнениями и разъяснениями.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Договор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согласовывается 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заключается с использованием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функционала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ЭП,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том числе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подпис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ывается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усиленной квалифицированной электронной подписью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уполномоченного лица Победителя 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Заказчика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соответственно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течение установленного в пункте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_Ref130293821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5.2.1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срока Заказчик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 использованием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функционала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ЭП направляет в адрес Победителя заполненный со своей стороны проект Договора.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201" w:name="_Ref49437111"/>
      <w:r>
        <w:rPr>
          <w:rFonts w:ascii="Times New Roman" w:hAnsi="Times New Roman" w:eastAsia="Times New Roman" w:cs="Times New Roman"/>
          <w:sz w:val="22"/>
          <w:szCs w:val="22"/>
        </w:rPr>
        <w:t xml:space="preserve">В случае наличия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 Победителя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разногласий по направленному Заказчиком проекту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оговора,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Победитель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составляет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ротокол разногласий с указанием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нем своих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замечаний к положениям проекта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оговора, не соответствующим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условиям настоящей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окументации о закупке 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или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заявке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Победителя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приведением ссылок на конкретные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пункты / положения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данных документов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которым они не соответствуют)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 Протокол разногласий направляется Заказчику с использованием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функционала ЭП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После рассмотрения указанного протокола разногласий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Заказчик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вправе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направ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ить Победителю доработанный проект Д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оговора либо повторно направ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ить исходный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проект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оговора с указанием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отдельном документе причин отказа учесть полностью или частично замечания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содержащиеся в протоколе разногласий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Победителя.</w:t>
      </w:r>
      <w:bookmarkEnd w:id="201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202" w:name="_Ref125368506"/>
      <w:r>
        <w:rPr>
          <w:rFonts w:ascii="Times New Roman" w:hAnsi="Times New Roman" w:eastAsia="Times New Roman" w:cs="Times New Roman"/>
          <w:sz w:val="22"/>
          <w:szCs w:val="22"/>
        </w:rPr>
        <w:t xml:space="preserve">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ведения о заключенном Договоре в течение 3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(трех) рабочих дней со дня заключения такого Договора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на ЭП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вносятся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Оператором ЭП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в Реестр договоров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ЕИС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(если размещение таких сведений допустимо Законом 223-ФЗ)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 Если при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заключении и исполнении Договора изменятся количество, объем, цена закупаемой продукции или сроки исполнения Договора (по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сравнению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указанными в итоговом протоколе 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результатам закупки), то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течение 10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(десяти) календарных дней со дня внесения таких изменений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Договор </w:t>
      </w:r>
      <w:bookmarkStart w:id="203" w:name="_Hlk132806825"/>
      <w:r>
        <w:rPr>
          <w:rFonts w:ascii="Times New Roman" w:hAnsi="Times New Roman" w:eastAsia="Times New Roman" w:cs="Times New Roman"/>
          <w:sz w:val="22"/>
          <w:szCs w:val="22"/>
        </w:rPr>
        <w:t xml:space="preserve">соответствующая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информаци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с указанием измененных условий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Договора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также размещается в ЕИС (если размещение таких сведений допустимо Законом 223-ФЗ)</w:t>
      </w:r>
      <w:bookmarkEnd w:id="203"/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bookmarkEnd w:id="202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Если до момента заключения с Договора в отношении Победителя была проведена повторная проверка в рамках мониторинга аккредитованных поставщиков (в соответствии с Положением об аккредитации), и 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результатам такой проверки ему присвоен статус «не аккредитован», то он утрачивает статус Победителя, а Закупочная комиссия имеет право выбрать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качестве Победителя иного Участника, занявшего следующее место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ранжировке заявок после Победителя, из числа остальных действующих заявок (при наличии у него статуса «аккредитован» / «аккредитация не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требуется»).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396" w:name="_Toc39"/>
      <w:r>
        <w:rPr>
          <w:rFonts w:ascii="Times New Roman" w:hAnsi="Times New Roman" w:eastAsia="Times New Roman" w:cs="Times New Roman"/>
          <w:sz w:val="22"/>
          <w:szCs w:val="22"/>
        </w:rPr>
      </w:r>
      <w:bookmarkStart w:id="204" w:name="_Ref125367068"/>
      <w:r>
        <w:rPr>
          <w:rFonts w:ascii="Times New Roman" w:hAnsi="Times New Roman" w:eastAsia="Times New Roman" w:cs="Times New Roman"/>
          <w:sz w:val="22"/>
          <w:szCs w:val="22"/>
        </w:rPr>
        <w:t xml:space="preserve">Уклонение Победителя от заключения Договора</w:t>
      </w:r>
      <w:bookmarkEnd w:id="204"/>
      <w:r>
        <w:rPr>
          <w:rFonts w:ascii="Times New Roman" w:hAnsi="Times New Roman" w:eastAsia="Times New Roman" w:cs="Times New Roman"/>
          <w:sz w:val="22"/>
          <w:szCs w:val="22"/>
        </w:rPr>
      </w:r>
      <w:bookmarkEnd w:id="396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сли Победитель закупки: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не подпишет Договор в установленные Документацией о закупке сроки (пункт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_Ref130293821 \r \h </w:instrText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5.2.1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откажется от подписания Договора на условиях, определяемых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соответствии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 пунктом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_Ref132288402 \r \h </w:instrText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\* MERGEFORMAT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5.2.8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не раскроет информацию в отношении всей цепочки собственников, включая бенефициаров (в том числе конечных), по установленной форме (</w:t>
      </w:r>
      <w:hyperlink w:tooltip="#Прил05_ФормыПобедителя" w:anchor="Прил05_ФормыПобедителя" w:history="1"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Приложение № </w:t>
        </w:r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5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), с приложением подтверждающих документов;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не предоставит Заверение об обстоятельствах, представляющ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собой гарантийное письмо об отсутствии обстоятельств, препятствующих 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Приложением № </w:t>
        </w:r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5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не предоставит копии документов, обязательных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к предоставлению Победителем закупки в соответствии с требованиями </w:t>
      </w:r>
      <w:hyperlink w:tooltip="#Прил01_ТехТребования" w:anchor="Прил01_ТехТребования" w:history="1"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Приложения №</w:t>
        </w:r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 </w:t>
        </w:r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1 </w:t>
        </w:r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– </w:t>
        </w:r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Технические требования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 (в случае установления таковых);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не предоставит обеспечение исполнения договора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до момента его заключения, если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Документация о закупке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предусматривает обеспечение исполнения договора с соответствующими обязательствами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не выполнит другие условия, прямо предусмотренные Документацией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закупке,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left="113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то он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 истечению установленных в подразделе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_Ref138341423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5.2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сроков на заключение Договора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признается уклонившимся от заключения Договора и утрачивает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397" w:name="_Toc40"/>
      <w:r>
        <w:rPr>
          <w:rFonts w:ascii="Times New Roman" w:hAnsi="Times New Roman" w:eastAsia="Times New Roman" w:cs="Times New Roman"/>
          <w:sz w:val="22"/>
          <w:szCs w:val="22"/>
        </w:rPr>
      </w:r>
      <w:bookmarkStart w:id="206" w:name="_Ref125363016"/>
      <w:r>
        <w:rPr>
          <w:rFonts w:ascii="Times New Roman" w:hAnsi="Times New Roman" w:eastAsia="Times New Roman" w:cs="Times New Roman"/>
          <w:sz w:val="22"/>
          <w:szCs w:val="22"/>
        </w:rPr>
      </w:r>
      <w:bookmarkStart w:id="207" w:name="_Ref125363023"/>
      <w:r>
        <w:rPr>
          <w:rFonts w:ascii="Times New Roman" w:hAnsi="Times New Roman" w:eastAsia="Times New Roman" w:cs="Times New Roman"/>
          <w:sz w:val="22"/>
          <w:szCs w:val="22"/>
        </w:rPr>
      </w:r>
      <w:bookmarkStart w:id="208" w:name="_Ref125363034"/>
      <w:r>
        <w:rPr>
          <w:rFonts w:ascii="Times New Roman" w:hAnsi="Times New Roman" w:eastAsia="Times New Roman" w:cs="Times New Roman"/>
          <w:sz w:val="22"/>
          <w:szCs w:val="22"/>
        </w:rPr>
      </w:r>
      <w:bookmarkStart w:id="209" w:name="_Ref125363600"/>
      <w:r>
        <w:rPr>
          <w:rFonts w:ascii="Times New Roman" w:hAnsi="Times New Roman" w:eastAsia="Times New Roman" w:cs="Times New Roman"/>
          <w:sz w:val="22"/>
          <w:szCs w:val="22"/>
        </w:rPr>
      </w:r>
      <w:bookmarkStart w:id="210" w:name="_Ref125363752"/>
      <w:r>
        <w:rPr>
          <w:rFonts w:ascii="Times New Roman" w:hAnsi="Times New Roman" w:eastAsia="Times New Roman" w:cs="Times New Roman"/>
          <w:sz w:val="22"/>
          <w:szCs w:val="22"/>
        </w:rPr>
      </w:r>
      <w:bookmarkStart w:id="211" w:name="_Ref125364088"/>
      <w:r>
        <w:rPr>
          <w:rFonts w:ascii="Times New Roman" w:hAnsi="Times New Roman" w:eastAsia="Times New Roman" w:cs="Times New Roman"/>
          <w:sz w:val="22"/>
          <w:szCs w:val="22"/>
        </w:rPr>
      </w:r>
      <w:bookmarkStart w:id="212" w:name="_Ref125364201"/>
      <w:r>
        <w:rPr>
          <w:rFonts w:ascii="Times New Roman" w:hAnsi="Times New Roman" w:eastAsia="Times New Roman" w:cs="Times New Roman"/>
          <w:sz w:val="22"/>
          <w:szCs w:val="22"/>
        </w:rPr>
      </w:r>
      <w:bookmarkStart w:id="213" w:name="_Ref125370732"/>
      <w:r>
        <w:rPr>
          <w:rFonts w:ascii="Times New Roman" w:hAnsi="Times New Roman" w:eastAsia="Times New Roman" w:cs="Times New Roman"/>
          <w:sz w:val="22"/>
          <w:szCs w:val="22"/>
        </w:rPr>
      </w:r>
      <w:bookmarkStart w:id="214" w:name="_Ref125370741"/>
      <w:r>
        <w:rPr>
          <w:rFonts w:ascii="Times New Roman" w:hAnsi="Times New Roman" w:eastAsia="Times New Roman" w:cs="Times New Roman"/>
          <w:sz w:val="22"/>
          <w:szCs w:val="22"/>
        </w:rPr>
      </w:r>
      <w:bookmarkStart w:id="215" w:name="_Ref125370746"/>
      <w:r>
        <w:rPr>
          <w:rFonts w:ascii="Times New Roman" w:hAnsi="Times New Roman" w:eastAsia="Times New Roman" w:cs="Times New Roman"/>
          <w:sz w:val="22"/>
          <w:szCs w:val="22"/>
        </w:rPr>
      </w:r>
      <w:bookmarkStart w:id="216" w:name="_Ref125370750"/>
      <w:r>
        <w:rPr>
          <w:rFonts w:ascii="Times New Roman" w:hAnsi="Times New Roman" w:eastAsia="Times New Roman" w:cs="Times New Roman"/>
          <w:sz w:val="22"/>
          <w:szCs w:val="22"/>
        </w:rPr>
      </w:r>
      <w:bookmarkStart w:id="217" w:name="_Ref125370843"/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bookmarkStart w:id="218" w:name="Прил01_ТехТребования"/>
      <w:r>
        <w:rPr>
          <w:rFonts w:ascii="Times New Roman" w:hAnsi="Times New Roman" w:eastAsia="Times New Roman" w:cs="Times New Roman"/>
          <w:sz w:val="22"/>
          <w:szCs w:val="22"/>
        </w:rPr>
        <w:t xml:space="preserve">Приложение № 1 – Технические требования</w:t>
      </w:r>
      <w:bookmarkEnd w:id="206"/>
      <w:r>
        <w:rPr>
          <w:rFonts w:ascii="Times New Roman" w:hAnsi="Times New Roman" w:eastAsia="Times New Roman" w:cs="Times New Roman"/>
          <w:sz w:val="22"/>
          <w:szCs w:val="22"/>
        </w:rPr>
      </w:r>
      <w:bookmarkEnd w:id="207"/>
      <w:r>
        <w:rPr>
          <w:rFonts w:ascii="Times New Roman" w:hAnsi="Times New Roman" w:eastAsia="Times New Roman" w:cs="Times New Roman"/>
          <w:sz w:val="22"/>
          <w:szCs w:val="22"/>
        </w:rPr>
      </w:r>
      <w:bookmarkEnd w:id="208"/>
      <w:r>
        <w:rPr>
          <w:rFonts w:ascii="Times New Roman" w:hAnsi="Times New Roman" w:eastAsia="Times New Roman" w:cs="Times New Roman"/>
          <w:sz w:val="22"/>
          <w:szCs w:val="22"/>
        </w:rPr>
      </w:r>
      <w:bookmarkEnd w:id="209"/>
      <w:r>
        <w:rPr>
          <w:rFonts w:ascii="Times New Roman" w:hAnsi="Times New Roman" w:eastAsia="Times New Roman" w:cs="Times New Roman"/>
          <w:sz w:val="22"/>
          <w:szCs w:val="22"/>
        </w:rPr>
      </w:r>
      <w:bookmarkEnd w:id="210"/>
      <w:r>
        <w:rPr>
          <w:rFonts w:ascii="Times New Roman" w:hAnsi="Times New Roman" w:eastAsia="Times New Roman" w:cs="Times New Roman"/>
          <w:sz w:val="22"/>
          <w:szCs w:val="22"/>
        </w:rPr>
      </w:r>
      <w:bookmarkEnd w:id="211"/>
      <w:r>
        <w:rPr>
          <w:rFonts w:ascii="Times New Roman" w:hAnsi="Times New Roman" w:eastAsia="Times New Roman" w:cs="Times New Roman"/>
          <w:sz w:val="22"/>
          <w:szCs w:val="22"/>
        </w:rPr>
      </w:r>
      <w:bookmarkEnd w:id="212"/>
      <w:r>
        <w:rPr>
          <w:rFonts w:ascii="Times New Roman" w:hAnsi="Times New Roman" w:eastAsia="Times New Roman" w:cs="Times New Roman"/>
          <w:sz w:val="22"/>
          <w:szCs w:val="22"/>
        </w:rPr>
      </w:r>
      <w:bookmarkEnd w:id="213"/>
      <w:r>
        <w:rPr>
          <w:rFonts w:ascii="Times New Roman" w:hAnsi="Times New Roman" w:eastAsia="Times New Roman" w:cs="Times New Roman"/>
          <w:sz w:val="22"/>
          <w:szCs w:val="22"/>
        </w:rPr>
      </w:r>
      <w:bookmarkEnd w:id="214"/>
      <w:r>
        <w:rPr>
          <w:rFonts w:ascii="Times New Roman" w:hAnsi="Times New Roman" w:eastAsia="Times New Roman" w:cs="Times New Roman"/>
          <w:sz w:val="22"/>
          <w:szCs w:val="22"/>
        </w:rPr>
      </w:r>
      <w:bookmarkEnd w:id="215"/>
      <w:r>
        <w:rPr>
          <w:rFonts w:ascii="Times New Roman" w:hAnsi="Times New Roman" w:eastAsia="Times New Roman" w:cs="Times New Roman"/>
          <w:sz w:val="22"/>
          <w:szCs w:val="22"/>
        </w:rPr>
      </w:r>
      <w:bookmarkEnd w:id="216"/>
      <w:r>
        <w:rPr>
          <w:rFonts w:ascii="Times New Roman" w:hAnsi="Times New Roman" w:eastAsia="Times New Roman" w:cs="Times New Roman"/>
          <w:sz w:val="22"/>
          <w:szCs w:val="22"/>
        </w:rPr>
      </w:r>
      <w:bookmarkEnd w:id="217"/>
      <w:r>
        <w:rPr>
          <w:rFonts w:ascii="Times New Roman" w:hAnsi="Times New Roman" w:eastAsia="Times New Roman" w:cs="Times New Roman"/>
          <w:sz w:val="22"/>
          <w:szCs w:val="22"/>
        </w:rPr>
      </w:r>
      <w:bookmarkEnd w:id="218"/>
      <w:r>
        <w:rPr>
          <w:rFonts w:ascii="Times New Roman" w:hAnsi="Times New Roman" w:eastAsia="Times New Roman" w:cs="Times New Roman"/>
          <w:sz w:val="22"/>
          <w:szCs w:val="22"/>
        </w:rPr>
      </w:r>
      <w:bookmarkEnd w:id="397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398" w:name="_Toc41"/>
      <w:r>
        <w:rPr>
          <w:rFonts w:ascii="Times New Roman" w:hAnsi="Times New Roman" w:eastAsia="Times New Roman" w:cs="Times New Roman"/>
          <w:sz w:val="22"/>
          <w:szCs w:val="22"/>
        </w:rPr>
        <w:t xml:space="preserve">Пояснения к Техническим требованиям</w:t>
      </w:r>
      <w:bookmarkEnd w:id="398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Технические требования к закупаемой продукции приведены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отдельном файле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предоставляются отдельным документом в составе Документации о закупке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являющимся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Приложени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№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 к Документации о закупке.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399" w:name="_Toc42"/>
      <w:r>
        <w:rPr>
          <w:rFonts w:ascii="Times New Roman" w:hAnsi="Times New Roman" w:eastAsia="Times New Roman" w:cs="Times New Roman"/>
          <w:sz w:val="22"/>
          <w:szCs w:val="22"/>
        </w:rPr>
      </w:r>
      <w:bookmarkStart w:id="221" w:name="_Ref125361746"/>
      <w:r>
        <w:rPr>
          <w:rFonts w:ascii="Times New Roman" w:hAnsi="Times New Roman" w:eastAsia="Times New Roman" w:cs="Times New Roman"/>
          <w:sz w:val="22"/>
          <w:szCs w:val="22"/>
        </w:rPr>
      </w:r>
      <w:bookmarkStart w:id="222" w:name="_Ref125363040"/>
      <w:r>
        <w:rPr>
          <w:rFonts w:ascii="Times New Roman" w:hAnsi="Times New Roman" w:eastAsia="Times New Roman" w:cs="Times New Roman"/>
          <w:sz w:val="22"/>
          <w:szCs w:val="22"/>
        </w:rPr>
      </w:r>
      <w:bookmarkStart w:id="223" w:name="_Ref125363605"/>
      <w:r>
        <w:rPr>
          <w:rFonts w:ascii="Times New Roman" w:hAnsi="Times New Roman" w:eastAsia="Times New Roman" w:cs="Times New Roman"/>
          <w:sz w:val="22"/>
          <w:szCs w:val="22"/>
        </w:rPr>
      </w:r>
      <w:bookmarkStart w:id="224" w:name="_Ref125363759"/>
      <w:r>
        <w:rPr>
          <w:rFonts w:ascii="Times New Roman" w:hAnsi="Times New Roman" w:eastAsia="Times New Roman" w:cs="Times New Roman"/>
          <w:sz w:val="22"/>
          <w:szCs w:val="22"/>
        </w:rPr>
      </w:r>
      <w:bookmarkStart w:id="225" w:name="_Ref125364081"/>
      <w:r>
        <w:rPr>
          <w:rFonts w:ascii="Times New Roman" w:hAnsi="Times New Roman" w:eastAsia="Times New Roman" w:cs="Times New Roman"/>
          <w:sz w:val="22"/>
          <w:szCs w:val="22"/>
        </w:rPr>
      </w:r>
      <w:bookmarkStart w:id="226" w:name="_Ref125364206"/>
      <w:r>
        <w:rPr>
          <w:rFonts w:ascii="Times New Roman" w:hAnsi="Times New Roman" w:eastAsia="Times New Roman" w:cs="Times New Roman"/>
          <w:sz w:val="22"/>
          <w:szCs w:val="22"/>
        </w:rPr>
      </w:r>
      <w:bookmarkStart w:id="227" w:name="_Ref125370754"/>
      <w:r>
        <w:rPr>
          <w:rFonts w:ascii="Times New Roman" w:hAnsi="Times New Roman" w:eastAsia="Times New Roman" w:cs="Times New Roman"/>
          <w:sz w:val="22"/>
          <w:szCs w:val="22"/>
        </w:rPr>
      </w:r>
      <w:bookmarkStart w:id="228" w:name="Прил02_ПроектДоговора"/>
      <w:r>
        <w:rPr>
          <w:rFonts w:ascii="Times New Roman" w:hAnsi="Times New Roman" w:eastAsia="Times New Roman" w:cs="Times New Roman"/>
          <w:sz w:val="22"/>
          <w:szCs w:val="22"/>
        </w:rPr>
        <w:t xml:space="preserve">Приложение № 2 – Проект договора</w:t>
      </w:r>
      <w:bookmarkEnd w:id="221"/>
      <w:r>
        <w:rPr>
          <w:rFonts w:ascii="Times New Roman" w:hAnsi="Times New Roman" w:eastAsia="Times New Roman" w:cs="Times New Roman"/>
          <w:sz w:val="22"/>
          <w:szCs w:val="22"/>
        </w:rPr>
      </w:r>
      <w:bookmarkEnd w:id="222"/>
      <w:r>
        <w:rPr>
          <w:rFonts w:ascii="Times New Roman" w:hAnsi="Times New Roman" w:eastAsia="Times New Roman" w:cs="Times New Roman"/>
          <w:sz w:val="22"/>
          <w:szCs w:val="22"/>
        </w:rPr>
      </w:r>
      <w:bookmarkEnd w:id="223"/>
      <w:r>
        <w:rPr>
          <w:rFonts w:ascii="Times New Roman" w:hAnsi="Times New Roman" w:eastAsia="Times New Roman" w:cs="Times New Roman"/>
          <w:sz w:val="22"/>
          <w:szCs w:val="22"/>
        </w:rPr>
      </w:r>
      <w:bookmarkEnd w:id="224"/>
      <w:r>
        <w:rPr>
          <w:rFonts w:ascii="Times New Roman" w:hAnsi="Times New Roman" w:eastAsia="Times New Roman" w:cs="Times New Roman"/>
          <w:sz w:val="22"/>
          <w:szCs w:val="22"/>
        </w:rPr>
      </w:r>
      <w:bookmarkEnd w:id="225"/>
      <w:r>
        <w:rPr>
          <w:rFonts w:ascii="Times New Roman" w:hAnsi="Times New Roman" w:eastAsia="Times New Roman" w:cs="Times New Roman"/>
          <w:sz w:val="22"/>
          <w:szCs w:val="22"/>
        </w:rPr>
      </w:r>
      <w:bookmarkEnd w:id="226"/>
      <w:r>
        <w:rPr>
          <w:rFonts w:ascii="Times New Roman" w:hAnsi="Times New Roman" w:eastAsia="Times New Roman" w:cs="Times New Roman"/>
          <w:sz w:val="22"/>
          <w:szCs w:val="22"/>
        </w:rPr>
      </w:r>
      <w:bookmarkEnd w:id="227"/>
      <w:r>
        <w:rPr>
          <w:rFonts w:ascii="Times New Roman" w:hAnsi="Times New Roman" w:eastAsia="Times New Roman" w:cs="Times New Roman"/>
          <w:sz w:val="22"/>
          <w:szCs w:val="22"/>
        </w:rPr>
      </w:r>
      <w:bookmarkEnd w:id="228"/>
      <w:r>
        <w:rPr>
          <w:rFonts w:ascii="Times New Roman" w:hAnsi="Times New Roman" w:eastAsia="Times New Roman" w:cs="Times New Roman"/>
          <w:sz w:val="22"/>
          <w:szCs w:val="22"/>
        </w:rPr>
      </w:r>
      <w:bookmarkEnd w:id="399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400" w:name="_Toc43"/>
      <w:r>
        <w:rPr>
          <w:rFonts w:ascii="Times New Roman" w:hAnsi="Times New Roman" w:eastAsia="Times New Roman" w:cs="Times New Roman"/>
          <w:sz w:val="22"/>
          <w:szCs w:val="22"/>
        </w:rPr>
        <w:t xml:space="preserve">Пояснения к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роекту договора</w:t>
      </w:r>
      <w:bookmarkEnd w:id="400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Проект договора, заключаемого по результатам закупки,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приведен в отдельном файле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предоставляется отдельным документом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составе Документации о закупке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являющимся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Приложени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№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2 к Документации о закупке.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Все положения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роекта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оговора являются существенными условиями для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Заказчика, за исключением пунктов договора, указанных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подразделе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_Ref132876309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как «Некритичные пункты Проекта договора»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соответствии с пунктом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_Ref49437111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5.2.11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Заказчик оставляет за собой право рассмотреть и принять перед подписанием Договора предложения и дополнительные (не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носящие принципиального характера) изменения 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Договору.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сли Стороны не придут к соглашению об этих изменениях, они будут обязаны подписать Договор на условиях, изложенных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Документации о закупке.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Одновременно с подписанием Сторонами Договора или не позднее 3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(трех) рабочих дней после подписания Договора, Сторонами должно быть подписано дополнительное соглашение,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форма которого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приведена в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отдельном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файле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формате Microsoft Word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(предоставляется отдельным документом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составе Документации о закупке)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касающееся вопросов подтверждения Участником информации о цепочке собственников, включая бенефициаров (в том числе конечных)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231" w:name="_MON_1736255517"/>
      <w:r>
        <w:rPr>
          <w:rFonts w:ascii="Times New Roman" w:hAnsi="Times New Roman" w:eastAsia="Times New Roman" w:cs="Times New Roman"/>
          <w:sz w:val="22"/>
          <w:szCs w:val="22"/>
        </w:rPr>
      </w:r>
      <w:bookmarkEnd w:id="231"/>
      <w:r>
        <w:rPr>
          <w:rFonts w:ascii="Times New Roman" w:hAnsi="Times New Roman" w:eastAsia="Times New Roman" w:cs="Times New Roman"/>
          <w:sz w:val="22"/>
          <w:szCs w:val="2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90600" cy="638175"/>
                <wp:effectExtent l="0" t="0" r="0" b="0"/>
                <wp:docPr id="1" name="_x0000_i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8">
                          <a:extLst>
                            <a:ext uri="{96DAC541-7B7A-43D3-8B79-37D633B846F1}">
                              <asvg:svgBlip xmlns:asvg="http://schemas.microsoft.com/office/drawing/2016/SVG/main" r:embed="rId19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9060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78.00pt;height:50.25pt;mso-wrap-distance-left:0.00pt;mso-wrap-distance-top:0.00pt;mso-wrap-distance-right:0.00pt;mso-wrap-distance-bottom:0.00pt;" stroked="f">
                <v:path textboxrect="0,0,0,0"/>
                <v:imagedata r:id="rId18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rPr>
          <w:rFonts w:ascii="Times New Roman" w:hAnsi="Times New Roman" w:cs="Times New Roman"/>
          <w:sz w:val="22"/>
          <w:szCs w:val="22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401" w:name="_Toc44"/>
      <w:r>
        <w:rPr>
          <w:rFonts w:ascii="Times New Roman" w:hAnsi="Times New Roman" w:eastAsia="Times New Roman" w:cs="Times New Roman"/>
          <w:sz w:val="22"/>
          <w:szCs w:val="22"/>
        </w:rPr>
      </w:r>
      <w:bookmarkStart w:id="232" w:name="_Ref125361494"/>
      <w:r>
        <w:rPr>
          <w:rFonts w:ascii="Times New Roman" w:hAnsi="Times New Roman" w:eastAsia="Times New Roman" w:cs="Times New Roman"/>
          <w:sz w:val="22"/>
          <w:szCs w:val="22"/>
        </w:rPr>
      </w:r>
      <w:bookmarkStart w:id="233" w:name="_Ref125361908"/>
      <w:r>
        <w:rPr>
          <w:rFonts w:ascii="Times New Roman" w:hAnsi="Times New Roman" w:eastAsia="Times New Roman" w:cs="Times New Roman"/>
          <w:sz w:val="22"/>
          <w:szCs w:val="22"/>
        </w:rPr>
      </w:r>
      <w:bookmarkStart w:id="234" w:name="_Ref125365476"/>
      <w:r>
        <w:rPr>
          <w:rFonts w:ascii="Times New Roman" w:hAnsi="Times New Roman" w:eastAsia="Times New Roman" w:cs="Times New Roman"/>
          <w:sz w:val="22"/>
          <w:szCs w:val="22"/>
        </w:rPr>
      </w:r>
      <w:bookmarkStart w:id="235" w:name="_Ref125370013"/>
      <w:r>
        <w:rPr>
          <w:rFonts w:ascii="Times New Roman" w:hAnsi="Times New Roman" w:eastAsia="Times New Roman" w:cs="Times New Roman"/>
          <w:sz w:val="22"/>
          <w:szCs w:val="22"/>
        </w:rPr>
      </w:r>
      <w:bookmarkStart w:id="236" w:name="Прил03_ТребованияУчастникам"/>
      <w:r>
        <w:rPr>
          <w:rFonts w:ascii="Times New Roman" w:hAnsi="Times New Roman" w:eastAsia="Times New Roman" w:cs="Times New Roman"/>
          <w:sz w:val="22"/>
          <w:szCs w:val="22"/>
        </w:rPr>
        <w:t xml:space="preserve">Приложение №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3 – Требования к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частникам</w:t>
      </w:r>
      <w:bookmarkEnd w:id="232"/>
      <w:r>
        <w:rPr>
          <w:rFonts w:ascii="Times New Roman" w:hAnsi="Times New Roman" w:eastAsia="Times New Roman" w:cs="Times New Roman"/>
          <w:sz w:val="22"/>
          <w:szCs w:val="22"/>
        </w:rPr>
      </w:r>
      <w:bookmarkEnd w:id="233"/>
      <w:r>
        <w:rPr>
          <w:rFonts w:ascii="Times New Roman" w:hAnsi="Times New Roman" w:eastAsia="Times New Roman" w:cs="Times New Roman"/>
          <w:sz w:val="22"/>
          <w:szCs w:val="22"/>
        </w:rPr>
      </w:r>
      <w:bookmarkEnd w:id="234"/>
      <w:r>
        <w:rPr>
          <w:rFonts w:ascii="Times New Roman" w:hAnsi="Times New Roman" w:eastAsia="Times New Roman" w:cs="Times New Roman"/>
          <w:sz w:val="22"/>
          <w:szCs w:val="22"/>
        </w:rPr>
      </w:r>
      <w:bookmarkEnd w:id="235"/>
      <w:r>
        <w:rPr>
          <w:rFonts w:ascii="Times New Roman" w:hAnsi="Times New Roman" w:eastAsia="Times New Roman" w:cs="Times New Roman"/>
          <w:sz w:val="22"/>
          <w:szCs w:val="22"/>
        </w:rPr>
      </w:r>
      <w:bookmarkEnd w:id="236"/>
      <w:r>
        <w:rPr>
          <w:rFonts w:ascii="Times New Roman" w:hAnsi="Times New Roman" w:eastAsia="Times New Roman" w:cs="Times New Roman"/>
          <w:sz w:val="22"/>
          <w:szCs w:val="22"/>
        </w:rPr>
      </w:r>
      <w:bookmarkEnd w:id="401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402" w:name="_Toc45"/>
      <w:r>
        <w:rPr>
          <w:rFonts w:ascii="Times New Roman" w:hAnsi="Times New Roman" w:eastAsia="Times New Roman" w:cs="Times New Roman"/>
          <w:sz w:val="22"/>
          <w:szCs w:val="22"/>
        </w:rPr>
        <w:t xml:space="preserve">Пояснения к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требованиям к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частникам</w:t>
      </w:r>
      <w:bookmarkEnd w:id="402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239" w:name="_Hlk125628168"/>
      <w:r>
        <w:rPr>
          <w:rFonts w:ascii="Times New Roman" w:hAnsi="Times New Roman" w:eastAsia="Times New Roman" w:cs="Times New Roman"/>
          <w:sz w:val="22"/>
          <w:szCs w:val="22"/>
        </w:rPr>
        <w:t xml:space="preserve">Чтобы претендовать на победу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в закупке и получение права заключить Договор с Заказчиком, Участник в целом должен отвечать нижеуказанным требованиям и включить в состав заявки документы, подтверждающие его соответствие установленным требованиям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bookmarkEnd w:id="239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5"/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403" w:name="_Toc46"/>
      <w:r>
        <w:rPr>
          <w:rFonts w:ascii="Times New Roman" w:hAnsi="Times New Roman" w:eastAsia="Times New Roman" w:cs="Times New Roman"/>
          <w:sz w:val="22"/>
          <w:szCs w:val="22"/>
        </w:rPr>
      </w:r>
      <w:bookmarkStart w:id="240" w:name="_Ref125361435"/>
      <w:r>
        <w:rPr>
          <w:rFonts w:ascii="Times New Roman" w:hAnsi="Times New Roman" w:eastAsia="Times New Roman" w:cs="Times New Roman"/>
          <w:sz w:val="22"/>
          <w:szCs w:val="22"/>
        </w:rPr>
      </w:r>
      <w:bookmarkStart w:id="241" w:name="_Ref125361590"/>
      <w:r>
        <w:rPr>
          <w:rFonts w:ascii="Times New Roman" w:hAnsi="Times New Roman" w:eastAsia="Times New Roman" w:cs="Times New Roman"/>
          <w:sz w:val="22"/>
          <w:szCs w:val="22"/>
        </w:rPr>
      </w:r>
      <w:bookmarkStart w:id="242" w:name="_Ref125361617"/>
      <w:r>
        <w:rPr>
          <w:rFonts w:ascii="Times New Roman" w:hAnsi="Times New Roman" w:eastAsia="Times New Roman" w:cs="Times New Roman"/>
          <w:sz w:val="22"/>
          <w:szCs w:val="22"/>
        </w:rPr>
      </w:r>
      <w:bookmarkStart w:id="243" w:name="_Ref125361832"/>
      <w:r>
        <w:rPr>
          <w:rFonts w:ascii="Times New Roman" w:hAnsi="Times New Roman" w:eastAsia="Times New Roman" w:cs="Times New Roman"/>
          <w:sz w:val="22"/>
          <w:szCs w:val="22"/>
        </w:rPr>
      </w:r>
      <w:bookmarkStart w:id="244" w:name="_Ref125361846"/>
      <w:r>
        <w:rPr>
          <w:rFonts w:ascii="Times New Roman" w:hAnsi="Times New Roman" w:eastAsia="Times New Roman" w:cs="Times New Roman"/>
          <w:sz w:val="22"/>
          <w:szCs w:val="22"/>
        </w:rPr>
      </w:r>
      <w:bookmarkStart w:id="245" w:name="_Ref125361926"/>
      <w:r>
        <w:rPr>
          <w:rFonts w:ascii="Times New Roman" w:hAnsi="Times New Roman" w:eastAsia="Times New Roman" w:cs="Times New Roman"/>
          <w:sz w:val="22"/>
          <w:szCs w:val="22"/>
        </w:rPr>
      </w:r>
      <w:bookmarkStart w:id="246" w:name="_Ref125366879"/>
      <w:r>
        <w:rPr>
          <w:rFonts w:ascii="Times New Roman" w:hAnsi="Times New Roman" w:eastAsia="Times New Roman" w:cs="Times New Roman"/>
          <w:sz w:val="22"/>
          <w:szCs w:val="22"/>
        </w:rPr>
      </w:r>
      <w:bookmarkStart w:id="247" w:name="_Ref125368812"/>
      <w:r>
        <w:rPr>
          <w:rFonts w:ascii="Times New Roman" w:hAnsi="Times New Roman" w:eastAsia="Times New Roman" w:cs="Times New Roman"/>
          <w:sz w:val="22"/>
          <w:szCs w:val="22"/>
        </w:rPr>
      </w:r>
      <w:bookmarkStart w:id="248" w:name="_Ref125368895"/>
      <w:r>
        <w:rPr>
          <w:rFonts w:ascii="Times New Roman" w:hAnsi="Times New Roman" w:eastAsia="Times New Roman" w:cs="Times New Roman"/>
          <w:sz w:val="22"/>
          <w:szCs w:val="22"/>
        </w:rPr>
      </w:r>
      <w:bookmarkStart w:id="249" w:name="_Ref125369088"/>
      <w:r>
        <w:rPr>
          <w:rFonts w:ascii="Times New Roman" w:hAnsi="Times New Roman" w:eastAsia="Times New Roman" w:cs="Times New Roman"/>
          <w:sz w:val="22"/>
          <w:szCs w:val="22"/>
        </w:rPr>
      </w:r>
      <w:bookmarkStart w:id="250" w:name="_Ref125370058"/>
      <w:r>
        <w:rPr>
          <w:rFonts w:ascii="Times New Roman" w:hAnsi="Times New Roman" w:eastAsia="Times New Roman" w:cs="Times New Roman"/>
          <w:sz w:val="22"/>
          <w:szCs w:val="22"/>
        </w:rPr>
      </w:r>
      <w:bookmarkStart w:id="251" w:name="_Ref125370064"/>
      <w:r>
        <w:rPr>
          <w:rFonts w:ascii="Times New Roman" w:hAnsi="Times New Roman" w:eastAsia="Times New Roman" w:cs="Times New Roman"/>
          <w:sz w:val="22"/>
          <w:szCs w:val="22"/>
        </w:rPr>
      </w:r>
      <w:bookmarkStart w:id="252" w:name="_Ref125370071"/>
      <w:r>
        <w:rPr>
          <w:rFonts w:ascii="Times New Roman" w:hAnsi="Times New Roman" w:eastAsia="Times New Roman" w:cs="Times New Roman"/>
          <w:sz w:val="22"/>
          <w:szCs w:val="22"/>
        </w:rPr>
        <w:t xml:space="preserve">Обязательные требования</w:t>
      </w:r>
      <w:bookmarkEnd w:id="240"/>
      <w:r>
        <w:rPr>
          <w:rFonts w:ascii="Times New Roman" w:hAnsi="Times New Roman" w:eastAsia="Times New Roman" w:cs="Times New Roman"/>
          <w:sz w:val="22"/>
          <w:szCs w:val="22"/>
        </w:rPr>
      </w:r>
      <w:bookmarkEnd w:id="241"/>
      <w:r>
        <w:rPr>
          <w:rFonts w:ascii="Times New Roman" w:hAnsi="Times New Roman" w:eastAsia="Times New Roman" w:cs="Times New Roman"/>
          <w:sz w:val="22"/>
          <w:szCs w:val="22"/>
        </w:rPr>
      </w:r>
      <w:bookmarkEnd w:id="242"/>
      <w:r>
        <w:rPr>
          <w:rFonts w:ascii="Times New Roman" w:hAnsi="Times New Roman" w:eastAsia="Times New Roman" w:cs="Times New Roman"/>
          <w:sz w:val="22"/>
          <w:szCs w:val="22"/>
        </w:rPr>
      </w:r>
      <w:bookmarkEnd w:id="243"/>
      <w:r>
        <w:rPr>
          <w:rFonts w:ascii="Times New Roman" w:hAnsi="Times New Roman" w:eastAsia="Times New Roman" w:cs="Times New Roman"/>
          <w:sz w:val="22"/>
          <w:szCs w:val="22"/>
        </w:rPr>
      </w:r>
      <w:bookmarkEnd w:id="244"/>
      <w:r>
        <w:rPr>
          <w:rFonts w:ascii="Times New Roman" w:hAnsi="Times New Roman" w:eastAsia="Times New Roman" w:cs="Times New Roman"/>
          <w:sz w:val="22"/>
          <w:szCs w:val="22"/>
        </w:rPr>
      </w:r>
      <w:bookmarkEnd w:id="245"/>
      <w:r>
        <w:rPr>
          <w:rFonts w:ascii="Times New Roman" w:hAnsi="Times New Roman" w:eastAsia="Times New Roman" w:cs="Times New Roman"/>
          <w:sz w:val="22"/>
          <w:szCs w:val="22"/>
        </w:rPr>
      </w:r>
      <w:bookmarkEnd w:id="246"/>
      <w:r>
        <w:rPr>
          <w:rFonts w:ascii="Times New Roman" w:hAnsi="Times New Roman" w:eastAsia="Times New Roman" w:cs="Times New Roman"/>
          <w:sz w:val="22"/>
          <w:szCs w:val="22"/>
        </w:rPr>
      </w:r>
      <w:bookmarkEnd w:id="247"/>
      <w:r>
        <w:rPr>
          <w:rFonts w:ascii="Times New Roman" w:hAnsi="Times New Roman" w:eastAsia="Times New Roman" w:cs="Times New Roman"/>
          <w:sz w:val="22"/>
          <w:szCs w:val="22"/>
        </w:rPr>
      </w:r>
      <w:bookmarkEnd w:id="248"/>
      <w:r>
        <w:rPr>
          <w:rFonts w:ascii="Times New Roman" w:hAnsi="Times New Roman" w:eastAsia="Times New Roman" w:cs="Times New Roman"/>
          <w:sz w:val="22"/>
          <w:szCs w:val="22"/>
        </w:rPr>
      </w:r>
      <w:bookmarkEnd w:id="249"/>
      <w:r>
        <w:rPr>
          <w:rFonts w:ascii="Times New Roman" w:hAnsi="Times New Roman" w:eastAsia="Times New Roman" w:cs="Times New Roman"/>
          <w:sz w:val="22"/>
          <w:szCs w:val="22"/>
        </w:rPr>
      </w:r>
      <w:bookmarkEnd w:id="250"/>
      <w:r>
        <w:rPr>
          <w:rFonts w:ascii="Times New Roman" w:hAnsi="Times New Roman" w:eastAsia="Times New Roman" w:cs="Times New Roman"/>
          <w:sz w:val="22"/>
          <w:szCs w:val="22"/>
        </w:rPr>
      </w:r>
      <w:bookmarkEnd w:id="251"/>
      <w:r>
        <w:rPr>
          <w:rFonts w:ascii="Times New Roman" w:hAnsi="Times New Roman" w:eastAsia="Times New Roman" w:cs="Times New Roman"/>
          <w:sz w:val="22"/>
          <w:szCs w:val="22"/>
        </w:rPr>
      </w:r>
      <w:bookmarkEnd w:id="252"/>
      <w:r>
        <w:rPr>
          <w:rFonts w:ascii="Times New Roman" w:hAnsi="Times New Roman" w:eastAsia="Times New Roman" w:cs="Times New Roman"/>
          <w:sz w:val="22"/>
          <w:szCs w:val="22"/>
        </w:rPr>
      </w:r>
      <w:bookmarkEnd w:id="403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Style w:val="1181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60"/>
              <w:jc w:val="center"/>
              <w:keepNext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  <w:t xml:space="preserve">п/п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60"/>
              <w:jc w:val="center"/>
              <w:keepNext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Требования к Участник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60"/>
              <w:jc w:val="center"/>
              <w:keepNext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Требования к документам,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подтверждающим соответствие Участника установленным требованиям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3"/>
              </w:numPr>
              <w:ind w:left="28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254" w:name="_Ref125552433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254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Участник должен обладать гражданской правоспособностью в полном объеме для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заключения и исполнения Договора, 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также должен обладать статусом «аккредитован»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соответствии 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Положением об аккредитации, либо являться лицом, указанным в пункте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3.11 Положения об аккредитации: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22"/>
              </w:numPr>
              <w:ind w:left="284" w:hanging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 отношении гражданской правоспособности: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60"/>
              <w:numPr>
                <w:ilvl w:val="0"/>
                <w:numId w:val="23"/>
              </w:numPr>
              <w:ind w:left="568" w:hanging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если заявка подписывается лицом, действующим на основании доверенности, предоставляется электронный образ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(файл в формате *.pdf)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оригинала соответствующей доверенности либо ее нотариально заверенной копии (с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указанием правомочий на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подписание заявки);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60"/>
              <w:numPr>
                <w:ilvl w:val="0"/>
                <w:numId w:val="22"/>
              </w:numPr>
              <w:ind w:left="284" w:hanging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 отношении аккредитации: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60"/>
              <w:numPr>
                <w:ilvl w:val="0"/>
                <w:numId w:val="23"/>
              </w:numPr>
              <w:ind w:left="568" w:hanging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наличи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ранее направленными сведениями для включения записи в Реестр аккредитации), и при отсутствии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 момента подачи им Заявки на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аккредитацию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изменений, оказывающих влияние на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соответствие его критериям аккредитации (на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текущий статус), 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аккредитацию –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редоставление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Заявк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на аккредитацию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не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требуется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60"/>
              <w:numPr>
                <w:ilvl w:val="0"/>
                <w:numId w:val="23"/>
              </w:numPr>
              <w:ind w:left="568" w:hanging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при наличии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ранее направленными сведениями для включения записи в Реестр аккредитации), и при наличии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момента подачи Заявки на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аккредитацию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изменений, оказывающих влияние на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соответствие его критериям аккредитации (на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текущий статус), 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аккредитацию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декларация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составе Письма о подаче оферты (форма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 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обновленная Заявка на аккредитацию по установленной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Документации о закупке форме 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</w:t>
              </w:r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 </w:t>
              </w:r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1</w:t>
              </w:r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0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60"/>
              <w:numPr>
                <w:ilvl w:val="0"/>
                <w:numId w:val="23"/>
              </w:numPr>
              <w:ind w:left="568" w:hanging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при отсутствии у Участника на момент подачи заявки статуса «аккредитован» 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при условии, что Участник ранее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направил Заявку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аккредитацию, но на момент подачи заявки на участие в текущей закупке результаты проверки еще не известны (отсутствует соответствующая запись в Реестре аккредитации)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декларация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составе Письма о подаче оферты (форма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60"/>
              <w:numPr>
                <w:ilvl w:val="0"/>
                <w:numId w:val="23"/>
              </w:numPr>
              <w:ind w:left="568" w:hanging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при отсутствии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 Участника на момент подачи заявки статуса «аккредитован» (не проходил ранее процедуру аккредитации) или наличия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 Участника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статуса «не аккредитован» (по результатам ранее пройденной процедуры аккредитации), а также для лиц, указанных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пункте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3.11 Положения об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аккредитации (аккредитация не требуется), но которые ранее не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направляли соответствующие сведения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для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включения записи в Реестр аккредитации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Заявка на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аккредитацию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установленной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Документации о закупке форме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10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60"/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 случае заинтересованности Участника в дополнительной оценке его финансового состояния, при условии отсутствия опубликованной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государственном информационном ресурсе бухгалтерской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(финансовой) отчетности организаций (https://bo.nalog.ru), к Заявке на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аккредитацию также прилагается электронная копия бухгалтерского баланса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ОКУД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0710001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и отчета о финансовых результатах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ОКУД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0710002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за последний завершенный финансовый год, 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отметкой налогового органа о приеме или 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приложением квитанции о приеме 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(или) извещения о вводе сведений налоговым органом. Указанные документы не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являются обязательными 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подаче в рамках процедуры аккредитации и предоставляются по желанию Участника.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3"/>
              </w:numPr>
              <w:ind w:left="28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255" w:name="_Ref132893662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255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Участник должен являться субъектом МСП, или физическим лицом, не являющимся индивидуальным предпринимателем и применяющим специальный налоговый режим «Налог на профессиональный доход»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Декларация о соответствии Участника данному требованию в составе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составе Письма о подаче оферты (форма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В рамках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рассмотрения заявок Организатор проверяет наличие информации об Участнике в Реестре МСП, а в отношении физических лиц, не являющихся индивидуальными предпринимателями и применяющих специальный налоговый режим «Налог на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профессиональный доход», наличие информации на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официальном сайте федерального органа исполнительной власти, уполномоченного по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контролю и надзору в области налогов и сборов, о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применении ими такого налогового режима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3"/>
              </w:numPr>
              <w:ind w:left="28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256" w:name="_Ref139029906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256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Сведения об Участнике должны отсутствовать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перечне юридических лиц,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отношении которых применяются специальные экономические меры, утвержденном Постановлением Правительства Российской Федерации от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11.05.2022 №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851</w:t>
            </w:r>
            <w:r>
              <w:rPr>
                <w:rStyle w:val="1168"/>
                <w:rFonts w:ascii="Times New Roman" w:hAnsi="Times New Roman" w:eastAsia="Times New Roman" w:cs="Times New Roman"/>
                <w:sz w:val="22"/>
                <w:szCs w:val="22"/>
              </w:rPr>
              <w:footnoteReference w:id="12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а также Участник не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должен являться подконтрольной организацией данных юридических лиц</w:t>
            </w:r>
            <w:r>
              <w:rPr>
                <w:rStyle w:val="1168"/>
                <w:rFonts w:ascii="Times New Roman" w:hAnsi="Times New Roman" w:eastAsia="Times New Roman" w:cs="Times New Roman"/>
                <w:sz w:val="22"/>
                <w:szCs w:val="22"/>
              </w:rPr>
              <w:footnoteReference w:id="13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Предоставление документов не требуется.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(В рамках рассмотрения заявок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(или) перед заключением договора 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Организатор проверяет наличие информации об Участнике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851 «О мерах по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реализации Указа Президента Российской Федерации от 3 мая 2022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г. N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252».)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3"/>
              </w:numPr>
              <w:ind w:left="28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257" w:name="_Ref186220330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257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Если в подразделе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_Ref125359973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установлен режим запрета закупки иностранной продукции и предметом закупки является оказание услуг 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(или) выполнение работ (в том числе с поставкой товаров при выполнении закупаемых работ 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(или) оказании закупаемых услуг), то Участник должен быть российским лицом: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Декларация о соответствии Участника данному требованию в составе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Письма о подаче оферты (форма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3"/>
              </w:numPr>
              <w:ind w:left="28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258" w:name="_Ref186220335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258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Если в подразделе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_Ref125359973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установлен режим ограничения закупки иностранной продукции или режим преимущества российской продукции 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предметом закупки является оказание услуг 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(или) выполнение работ (в том числе 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поставкой товаров при выполнении закупаемых работ 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(или) оказании закупаемых услуг), то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Участник должен указать свою принадлежность – Участник является иностранным лицом или российским лицом: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Декларация о принадлежности Участника к иностранному лицу или российскому лицу в составе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Письма о подаче оферты (форма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</w:p>
        </w:tc>
      </w:tr>
    </w:tbl>
    <w:p>
      <w:pPr>
        <w:pStyle w:val="1155"/>
        <w:spacing w:after="120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eastAsia="Times New Roman" w:cs="Times New Roman"/>
          <w:sz w:val="22"/>
          <w:szCs w:val="22"/>
          <w:highlight w:val="white"/>
        </w:rPr>
      </w:r>
      <w:bookmarkStart w:id="404" w:name="_Toc47"/>
      <w:r>
        <w:rPr>
          <w:rFonts w:ascii="Times New Roman" w:hAnsi="Times New Roman" w:eastAsia="Times New Roman" w:cs="Times New Roman"/>
          <w:sz w:val="22"/>
          <w:szCs w:val="22"/>
          <w:highlight w:val="white"/>
        </w:rPr>
      </w:r>
      <w:bookmarkStart w:id="259" w:name="_Ref125361442"/>
      <w:r>
        <w:rPr>
          <w:rFonts w:ascii="Times New Roman" w:hAnsi="Times New Roman" w:eastAsia="Times New Roman" w:cs="Times New Roman"/>
          <w:sz w:val="22"/>
          <w:szCs w:val="22"/>
          <w:highlight w:val="white"/>
        </w:rPr>
      </w:r>
      <w:bookmarkStart w:id="260" w:name="_Ref125361633"/>
      <w:r>
        <w:rPr>
          <w:rFonts w:ascii="Times New Roman" w:hAnsi="Times New Roman" w:eastAsia="Times New Roman" w:cs="Times New Roman"/>
          <w:sz w:val="22"/>
          <w:szCs w:val="22"/>
          <w:highlight w:val="white"/>
        </w:rPr>
      </w:r>
      <w:bookmarkStart w:id="261" w:name="_Ref125361671"/>
      <w:r>
        <w:rPr>
          <w:rFonts w:ascii="Times New Roman" w:hAnsi="Times New Roman" w:eastAsia="Times New Roman" w:cs="Times New Roman"/>
          <w:sz w:val="22"/>
          <w:szCs w:val="22"/>
          <w:highlight w:val="white"/>
        </w:rPr>
      </w:r>
      <w:bookmarkStart w:id="262" w:name="_Ref125361869"/>
      <w:r>
        <w:rPr>
          <w:rFonts w:ascii="Times New Roman" w:hAnsi="Times New Roman" w:eastAsia="Times New Roman" w:cs="Times New Roman"/>
          <w:sz w:val="22"/>
          <w:szCs w:val="22"/>
          <w:highlight w:val="white"/>
        </w:rPr>
      </w:r>
      <w:bookmarkStart w:id="263" w:name="_Ref125361937"/>
      <w:r>
        <w:rPr>
          <w:rFonts w:ascii="Times New Roman" w:hAnsi="Times New Roman" w:eastAsia="Times New Roman" w:cs="Times New Roman"/>
          <w:sz w:val="22"/>
          <w:szCs w:val="22"/>
          <w:highlight w:val="white"/>
        </w:rPr>
      </w:r>
      <w:bookmarkStart w:id="264" w:name="_Ref125365459"/>
      <w:r>
        <w:rPr>
          <w:rFonts w:ascii="Times New Roman" w:hAnsi="Times New Roman" w:eastAsia="Times New Roman" w:cs="Times New Roman"/>
          <w:sz w:val="22"/>
          <w:szCs w:val="22"/>
          <w:highlight w:val="white"/>
        </w:rPr>
      </w:r>
      <w:bookmarkStart w:id="265" w:name="_Ref125367521"/>
      <w:r>
        <w:rPr>
          <w:rFonts w:ascii="Times New Roman" w:hAnsi="Times New Roman" w:eastAsia="Times New Roman" w:cs="Times New Roman"/>
          <w:sz w:val="22"/>
          <w:szCs w:val="22"/>
          <w:highlight w:val="white"/>
        </w:rPr>
      </w:r>
      <w:bookmarkStart w:id="266" w:name="_Ref125367539"/>
      <w:r>
        <w:rPr>
          <w:rFonts w:ascii="Times New Roman" w:hAnsi="Times New Roman" w:eastAsia="Times New Roman" w:cs="Times New Roman"/>
          <w:sz w:val="22"/>
          <w:szCs w:val="22"/>
          <w:highlight w:val="white"/>
        </w:rPr>
      </w:r>
      <w:bookmarkStart w:id="267" w:name="_Ref125368818"/>
      <w:r>
        <w:rPr>
          <w:rFonts w:ascii="Times New Roman" w:hAnsi="Times New Roman" w:eastAsia="Times New Roman" w:cs="Times New Roman"/>
          <w:sz w:val="22"/>
          <w:szCs w:val="22"/>
          <w:highlight w:val="white"/>
        </w:rPr>
      </w:r>
      <w:bookmarkStart w:id="268" w:name="_Ref125368901"/>
      <w:r>
        <w:rPr>
          <w:rFonts w:ascii="Times New Roman" w:hAnsi="Times New Roman" w:eastAsia="Times New Roman" w:cs="Times New Roman"/>
          <w:sz w:val="22"/>
          <w:szCs w:val="22"/>
          <w:highlight w:val="white"/>
        </w:rPr>
      </w:r>
      <w:bookmarkStart w:id="269" w:name="_Ref125368916"/>
      <w:r>
        <w:rPr>
          <w:rFonts w:ascii="Times New Roman" w:hAnsi="Times New Roman" w:eastAsia="Times New Roman" w:cs="Times New Roman"/>
          <w:sz w:val="22"/>
          <w:szCs w:val="22"/>
          <w:highlight w:val="white"/>
        </w:rPr>
      </w:r>
      <w:bookmarkStart w:id="270" w:name="_Ref125369099"/>
      <w:r>
        <w:rPr>
          <w:rFonts w:ascii="Times New Roman" w:hAnsi="Times New Roman" w:eastAsia="Times New Roman" w:cs="Times New Roman"/>
          <w:sz w:val="22"/>
          <w:szCs w:val="22"/>
          <w:highlight w:val="white"/>
        </w:rPr>
      </w:r>
      <w:bookmarkStart w:id="271" w:name="_Ref125370079"/>
      <w:r>
        <w:rPr>
          <w:rFonts w:ascii="Times New Roman" w:hAnsi="Times New Roman" w:eastAsia="Times New Roman" w:cs="Times New Roman"/>
          <w:sz w:val="22"/>
          <w:szCs w:val="22"/>
          <w:highlight w:val="white"/>
        </w:rPr>
      </w:r>
      <w:bookmarkStart w:id="272" w:name="_Ref125709153"/>
      <w:r>
        <w:rPr>
          <w:rFonts w:ascii="Times New Roman" w:hAnsi="Times New Roman" w:eastAsia="Times New Roman" w:cs="Times New Roman"/>
          <w:sz w:val="22"/>
          <w:szCs w:val="22"/>
          <w:highlight w:val="white"/>
        </w:rPr>
      </w:r>
      <w:bookmarkStart w:id="273" w:name="_Ref125709250"/>
      <w:r>
        <w:rPr>
          <w:rFonts w:ascii="Times New Roman" w:hAnsi="Times New Roman" w:eastAsia="Times New Roman" w:cs="Times New Roman"/>
          <w:sz w:val="22"/>
          <w:szCs w:val="22"/>
          <w:highlight w:val="white"/>
        </w:rPr>
      </w:r>
      <w:bookmarkStart w:id="274" w:name="_Ref125709401"/>
      <w:r>
        <w:rPr>
          <w:rFonts w:ascii="Times New Roman" w:hAnsi="Times New Roman" w:eastAsia="Times New Roman" w:cs="Times New Roman"/>
          <w:sz w:val="22"/>
          <w:szCs w:val="22"/>
          <w:highlight w:val="white"/>
        </w:rPr>
      </w:r>
      <w:bookmarkStart w:id="275" w:name="_Ref125709888"/>
      <w:r>
        <w:rPr>
          <w:rFonts w:ascii="Times New Roman" w:hAnsi="Times New Roman" w:eastAsia="Times New Roman" w:cs="Times New Roman"/>
          <w:sz w:val="22"/>
          <w:szCs w:val="22"/>
          <w:highlight w:val="white"/>
        </w:rPr>
        <w:t xml:space="preserve">Специальные требования</w:t>
      </w:r>
      <w:bookmarkEnd w:id="259"/>
      <w:r>
        <w:rPr>
          <w:rFonts w:ascii="Times New Roman" w:hAnsi="Times New Roman" w:eastAsia="Times New Roman" w:cs="Times New Roman"/>
          <w:sz w:val="22"/>
          <w:szCs w:val="22"/>
          <w:highlight w:val="white"/>
        </w:rPr>
      </w:r>
      <w:bookmarkEnd w:id="260"/>
      <w:r>
        <w:rPr>
          <w:rFonts w:ascii="Times New Roman" w:hAnsi="Times New Roman" w:eastAsia="Times New Roman" w:cs="Times New Roman"/>
          <w:sz w:val="22"/>
          <w:szCs w:val="22"/>
          <w:highlight w:val="white"/>
        </w:rPr>
      </w:r>
      <w:bookmarkEnd w:id="261"/>
      <w:r>
        <w:rPr>
          <w:rFonts w:ascii="Times New Roman" w:hAnsi="Times New Roman" w:eastAsia="Times New Roman" w:cs="Times New Roman"/>
          <w:sz w:val="22"/>
          <w:szCs w:val="22"/>
          <w:highlight w:val="white"/>
        </w:rPr>
      </w:r>
      <w:bookmarkEnd w:id="262"/>
      <w:r>
        <w:rPr>
          <w:rFonts w:ascii="Times New Roman" w:hAnsi="Times New Roman" w:eastAsia="Times New Roman" w:cs="Times New Roman"/>
          <w:sz w:val="22"/>
          <w:szCs w:val="22"/>
          <w:highlight w:val="white"/>
        </w:rPr>
      </w:r>
      <w:bookmarkEnd w:id="263"/>
      <w:r>
        <w:rPr>
          <w:rFonts w:ascii="Times New Roman" w:hAnsi="Times New Roman" w:eastAsia="Times New Roman" w:cs="Times New Roman"/>
          <w:sz w:val="22"/>
          <w:szCs w:val="22"/>
          <w:highlight w:val="white"/>
        </w:rPr>
      </w:r>
      <w:bookmarkEnd w:id="264"/>
      <w:r>
        <w:rPr>
          <w:rFonts w:ascii="Times New Roman" w:hAnsi="Times New Roman" w:eastAsia="Times New Roman" w:cs="Times New Roman"/>
          <w:sz w:val="22"/>
          <w:szCs w:val="22"/>
          <w:highlight w:val="white"/>
        </w:rPr>
      </w:r>
      <w:bookmarkEnd w:id="265"/>
      <w:r>
        <w:rPr>
          <w:rFonts w:ascii="Times New Roman" w:hAnsi="Times New Roman" w:eastAsia="Times New Roman" w:cs="Times New Roman"/>
          <w:sz w:val="22"/>
          <w:szCs w:val="22"/>
          <w:highlight w:val="white"/>
        </w:rPr>
      </w:r>
      <w:bookmarkEnd w:id="266"/>
      <w:r>
        <w:rPr>
          <w:rFonts w:ascii="Times New Roman" w:hAnsi="Times New Roman" w:eastAsia="Times New Roman" w:cs="Times New Roman"/>
          <w:sz w:val="22"/>
          <w:szCs w:val="22"/>
          <w:highlight w:val="white"/>
        </w:rPr>
      </w:r>
      <w:bookmarkEnd w:id="267"/>
      <w:r>
        <w:rPr>
          <w:rFonts w:ascii="Times New Roman" w:hAnsi="Times New Roman" w:eastAsia="Times New Roman" w:cs="Times New Roman"/>
          <w:sz w:val="22"/>
          <w:szCs w:val="22"/>
          <w:highlight w:val="white"/>
        </w:rPr>
      </w:r>
      <w:bookmarkEnd w:id="268"/>
      <w:r>
        <w:rPr>
          <w:rFonts w:ascii="Times New Roman" w:hAnsi="Times New Roman" w:eastAsia="Times New Roman" w:cs="Times New Roman"/>
          <w:sz w:val="22"/>
          <w:szCs w:val="22"/>
          <w:highlight w:val="white"/>
        </w:rPr>
      </w:r>
      <w:bookmarkEnd w:id="269"/>
      <w:r>
        <w:rPr>
          <w:rFonts w:ascii="Times New Roman" w:hAnsi="Times New Roman" w:eastAsia="Times New Roman" w:cs="Times New Roman"/>
          <w:sz w:val="22"/>
          <w:szCs w:val="22"/>
          <w:highlight w:val="white"/>
        </w:rPr>
      </w:r>
      <w:bookmarkEnd w:id="270"/>
      <w:r>
        <w:rPr>
          <w:rFonts w:ascii="Times New Roman" w:hAnsi="Times New Roman" w:eastAsia="Times New Roman" w:cs="Times New Roman"/>
          <w:sz w:val="22"/>
          <w:szCs w:val="22"/>
          <w:highlight w:val="white"/>
        </w:rPr>
      </w:r>
      <w:bookmarkEnd w:id="271"/>
      <w:r>
        <w:rPr>
          <w:rFonts w:ascii="Times New Roman" w:hAnsi="Times New Roman" w:eastAsia="Times New Roman" w:cs="Times New Roman"/>
          <w:sz w:val="22"/>
          <w:szCs w:val="22"/>
          <w:highlight w:val="white"/>
        </w:rPr>
      </w:r>
      <w:bookmarkEnd w:id="272"/>
      <w:r>
        <w:rPr>
          <w:rFonts w:ascii="Times New Roman" w:hAnsi="Times New Roman" w:eastAsia="Times New Roman" w:cs="Times New Roman"/>
          <w:sz w:val="22"/>
          <w:szCs w:val="22"/>
          <w:highlight w:val="white"/>
        </w:rPr>
      </w:r>
      <w:bookmarkEnd w:id="273"/>
      <w:r>
        <w:rPr>
          <w:rFonts w:ascii="Times New Roman" w:hAnsi="Times New Roman" w:eastAsia="Times New Roman" w:cs="Times New Roman"/>
          <w:sz w:val="22"/>
          <w:szCs w:val="22"/>
          <w:highlight w:val="white"/>
        </w:rPr>
      </w:r>
      <w:bookmarkEnd w:id="274"/>
      <w:r>
        <w:rPr>
          <w:rFonts w:ascii="Times New Roman" w:hAnsi="Times New Roman" w:eastAsia="Times New Roman" w:cs="Times New Roman"/>
          <w:sz w:val="22"/>
          <w:szCs w:val="22"/>
          <w:highlight w:val="white"/>
        </w:rPr>
      </w:r>
      <w:bookmarkEnd w:id="275"/>
      <w:r>
        <w:rPr>
          <w:rFonts w:ascii="Times New Roman" w:hAnsi="Times New Roman" w:eastAsia="Times New Roman" w:cs="Times New Roman"/>
          <w:sz w:val="22"/>
          <w:szCs w:val="22"/>
          <w:highlight w:val="white"/>
        </w:rPr>
      </w:r>
      <w:bookmarkEnd w:id="404"/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tbl>
      <w:tblPr>
        <w:tblStyle w:val="1181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60"/>
              <w:jc w:val="center"/>
              <w:keepNext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  <w:t xml:space="preserve">п/п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60"/>
              <w:jc w:val="center"/>
              <w:keepNext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Требования к Участник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60"/>
              <w:jc w:val="center"/>
              <w:keepNext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Требования к документам,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подтверждающим соответствие Участника установленным требованиям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4"/>
              </w:numPr>
              <w:ind w:left="28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Специальные требования не установлены.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Специальные требования не установлены.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1155"/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406" w:name="_Toc49"/>
      <w:r>
        <w:rPr>
          <w:rFonts w:ascii="Times New Roman" w:hAnsi="Times New Roman" w:eastAsia="Times New Roman" w:cs="Times New Roman"/>
          <w:sz w:val="22"/>
          <w:szCs w:val="22"/>
        </w:rPr>
      </w:r>
      <w:bookmarkStart w:id="290" w:name="_Ref125361823"/>
      <w:r>
        <w:rPr>
          <w:rFonts w:ascii="Times New Roman" w:hAnsi="Times New Roman" w:eastAsia="Times New Roman" w:cs="Times New Roman"/>
          <w:sz w:val="22"/>
          <w:szCs w:val="22"/>
        </w:rPr>
      </w:r>
      <w:bookmarkStart w:id="291" w:name="_Ref125362031"/>
      <w:r>
        <w:rPr>
          <w:rFonts w:ascii="Times New Roman" w:hAnsi="Times New Roman" w:eastAsia="Times New Roman" w:cs="Times New Roman"/>
          <w:sz w:val="22"/>
          <w:szCs w:val="22"/>
        </w:rPr>
      </w:r>
      <w:bookmarkStart w:id="292" w:name="_Ref125369117"/>
      <w:r>
        <w:rPr>
          <w:rFonts w:ascii="Times New Roman" w:hAnsi="Times New Roman" w:eastAsia="Times New Roman" w:cs="Times New Roman"/>
          <w:sz w:val="22"/>
          <w:szCs w:val="22"/>
        </w:rPr>
      </w:r>
      <w:bookmarkStart w:id="293" w:name="_Ref125370173"/>
      <w:r>
        <w:rPr>
          <w:rFonts w:ascii="Times New Roman" w:hAnsi="Times New Roman" w:eastAsia="Times New Roman" w:cs="Times New Roman"/>
          <w:sz w:val="22"/>
          <w:szCs w:val="22"/>
        </w:rPr>
      </w:r>
      <w:bookmarkStart w:id="294" w:name="_Ref125370180"/>
      <w:r>
        <w:rPr>
          <w:rFonts w:ascii="Times New Roman" w:hAnsi="Times New Roman" w:eastAsia="Times New Roman" w:cs="Times New Roman"/>
          <w:sz w:val="22"/>
          <w:szCs w:val="22"/>
        </w:rPr>
      </w:r>
      <w:bookmarkStart w:id="295" w:name="_Ref125370209"/>
      <w:r>
        <w:rPr>
          <w:rFonts w:ascii="Times New Roman" w:hAnsi="Times New Roman" w:eastAsia="Times New Roman" w:cs="Times New Roman"/>
          <w:sz w:val="22"/>
          <w:szCs w:val="22"/>
        </w:rPr>
      </w:r>
      <w:bookmarkStart w:id="296" w:name="_Ref125709777"/>
      <w:r>
        <w:rPr>
          <w:rFonts w:ascii="Times New Roman" w:hAnsi="Times New Roman" w:eastAsia="Times New Roman" w:cs="Times New Roman"/>
          <w:sz w:val="22"/>
          <w:szCs w:val="22"/>
        </w:rPr>
      </w:r>
      <w:bookmarkStart w:id="297" w:name="_Ref125709973"/>
      <w:r>
        <w:rPr>
          <w:rFonts w:ascii="Times New Roman" w:hAnsi="Times New Roman" w:eastAsia="Times New Roman" w:cs="Times New Roman"/>
          <w:sz w:val="22"/>
          <w:szCs w:val="22"/>
        </w:rPr>
        <w:t xml:space="preserve">Дополнительные 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ребования к Генеральным подрядчикам</w:t>
      </w:r>
      <w:bookmarkEnd w:id="290"/>
      <w:r>
        <w:rPr>
          <w:rFonts w:ascii="Times New Roman" w:hAnsi="Times New Roman" w:eastAsia="Times New Roman" w:cs="Times New Roman"/>
          <w:sz w:val="22"/>
          <w:szCs w:val="22"/>
        </w:rPr>
      </w:r>
      <w:bookmarkEnd w:id="291"/>
      <w:r>
        <w:rPr>
          <w:rFonts w:ascii="Times New Roman" w:hAnsi="Times New Roman" w:eastAsia="Times New Roman" w:cs="Times New Roman"/>
          <w:sz w:val="22"/>
          <w:szCs w:val="22"/>
        </w:rPr>
      </w:r>
      <w:bookmarkEnd w:id="292"/>
      <w:r>
        <w:rPr>
          <w:rFonts w:ascii="Times New Roman" w:hAnsi="Times New Roman" w:eastAsia="Times New Roman" w:cs="Times New Roman"/>
          <w:sz w:val="22"/>
          <w:szCs w:val="22"/>
        </w:rPr>
      </w:r>
      <w:bookmarkEnd w:id="293"/>
      <w:r>
        <w:rPr>
          <w:rFonts w:ascii="Times New Roman" w:hAnsi="Times New Roman" w:eastAsia="Times New Roman" w:cs="Times New Roman"/>
          <w:sz w:val="22"/>
          <w:szCs w:val="22"/>
        </w:rPr>
      </w:r>
      <w:bookmarkEnd w:id="294"/>
      <w:r>
        <w:rPr>
          <w:rFonts w:ascii="Times New Roman" w:hAnsi="Times New Roman" w:eastAsia="Times New Roman" w:cs="Times New Roman"/>
          <w:sz w:val="22"/>
          <w:szCs w:val="22"/>
        </w:rPr>
      </w:r>
      <w:bookmarkEnd w:id="295"/>
      <w:r>
        <w:rPr>
          <w:rFonts w:ascii="Times New Roman" w:hAnsi="Times New Roman" w:eastAsia="Times New Roman" w:cs="Times New Roman"/>
          <w:sz w:val="22"/>
          <w:szCs w:val="22"/>
        </w:rPr>
      </w:r>
      <w:bookmarkEnd w:id="296"/>
      <w:r>
        <w:rPr>
          <w:rFonts w:ascii="Times New Roman" w:hAnsi="Times New Roman" w:eastAsia="Times New Roman" w:cs="Times New Roman"/>
          <w:sz w:val="22"/>
          <w:szCs w:val="22"/>
        </w:rPr>
      </w:r>
      <w:bookmarkEnd w:id="297"/>
      <w:r>
        <w:rPr>
          <w:rFonts w:ascii="Times New Roman" w:hAnsi="Times New Roman" w:eastAsia="Times New Roman" w:cs="Times New Roman"/>
          <w:sz w:val="22"/>
          <w:szCs w:val="22"/>
        </w:rPr>
      </w:r>
      <w:bookmarkEnd w:id="406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Style w:val="1181"/>
        <w:tblW w:w="0" w:type="auto"/>
        <w:tblLayout w:type="fixed"/>
        <w:tblLook w:val="04A0" w:firstRow="1" w:lastRow="0" w:firstColumn="1" w:lastColumn="0" w:noHBand="0" w:noVBand="1"/>
      </w:tblPr>
      <w:tblGrid>
        <w:gridCol w:w="1133"/>
        <w:gridCol w:w="5666"/>
        <w:gridCol w:w="8327"/>
      </w:tblGrid>
      <w:tr>
        <w:tblPrEx/>
        <w:trPr/>
        <w:tc>
          <w:tcPr>
            <w:tcW w:w="1133" w:type="dxa"/>
            <w:textDirection w:val="lrTb"/>
            <w:noWrap w:val="false"/>
          </w:tcPr>
          <w:p>
            <w:pPr>
              <w:pStyle w:val="1160"/>
              <w:jc w:val="center"/>
              <w:keepNext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  <w:t xml:space="preserve">п/п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666" w:type="dxa"/>
            <w:textDirection w:val="lrTb"/>
            <w:noWrap w:val="false"/>
          </w:tcPr>
          <w:p>
            <w:pPr>
              <w:pStyle w:val="1160"/>
              <w:jc w:val="center"/>
              <w:keepNext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Требования к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Генеральн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ому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подрядчику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60"/>
              <w:jc w:val="center"/>
              <w:keepNext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Требования к документам, подтверждающим соответствие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Генерального подрядчика установленным требованиям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133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6"/>
              </w:numPr>
              <w:ind w:left="28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299" w:name="_Ref125370187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299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666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Заявка Генерального подрядчика дополнительно должна включать сведения 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распределении объемов поставки продукции между Генеральным подрядчиком и субподрядчиками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Техническо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предложени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(форма 4) (</w:t>
            </w:r>
            <w:hyperlink w:tooltip="#Прил04_ФормыЗаявки" w:anchor="Прил04_ФормыЗаявки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содержащие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План распределения объемов поставки продукции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133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6"/>
              </w:numPr>
              <w:ind w:left="28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300" w:name="_Ref125370193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300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666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Соответствие каждого субподрядчика установленным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требованиям 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 учетом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пункт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_Ref125368863 \w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3.2.4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том числе с учетом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объема поставки продукции, который ему предполагается поручить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соответствии с Планом распределения объемов поставки продукции, представленным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нутри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Сведения и документы, аналогичные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установленным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подразделах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–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_Ref125361442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8.3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отношении каждого субподрядчика, подтверждающие его соответствие данным требованиям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133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6"/>
              </w:numPr>
              <w:ind w:left="28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301" w:name="_Ref125553847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301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666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Дополнительные т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ребования не установлены.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Дополнительные т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ребования не установлены.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11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rPr>
          <w:rFonts w:ascii="Times New Roman" w:hAnsi="Times New Roman" w:cs="Times New Roman"/>
          <w:sz w:val="22"/>
          <w:szCs w:val="22"/>
        </w:rPr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407" w:name="_Toc50"/>
      <w:r>
        <w:rPr>
          <w:rFonts w:ascii="Times New Roman" w:hAnsi="Times New Roman" w:eastAsia="Times New Roman" w:cs="Times New Roman"/>
          <w:sz w:val="22"/>
          <w:szCs w:val="22"/>
        </w:rPr>
      </w:r>
      <w:bookmarkStart w:id="302" w:name="Прил04_ФормыЗаявки"/>
      <w:r>
        <w:rPr>
          <w:rFonts w:ascii="Times New Roman" w:hAnsi="Times New Roman" w:eastAsia="Times New Roman" w:cs="Times New Roman"/>
          <w:sz w:val="22"/>
          <w:szCs w:val="22"/>
        </w:rPr>
      </w:r>
      <w:bookmarkStart w:id="303" w:name="_Ref125362865"/>
      <w:r>
        <w:rPr>
          <w:rFonts w:ascii="Times New Roman" w:hAnsi="Times New Roman" w:eastAsia="Times New Roman" w:cs="Times New Roman"/>
          <w:sz w:val="22"/>
          <w:szCs w:val="22"/>
        </w:rPr>
      </w:r>
      <w:bookmarkStart w:id="304" w:name="_Ref125362900"/>
      <w:r>
        <w:rPr>
          <w:rFonts w:ascii="Times New Roman" w:hAnsi="Times New Roman" w:eastAsia="Times New Roman" w:cs="Times New Roman"/>
          <w:sz w:val="22"/>
          <w:szCs w:val="22"/>
        </w:rPr>
      </w:r>
      <w:bookmarkEnd w:id="302"/>
      <w:r>
        <w:rPr>
          <w:rFonts w:ascii="Times New Roman" w:hAnsi="Times New Roman" w:eastAsia="Times New Roman" w:cs="Times New Roman"/>
          <w:sz w:val="22"/>
          <w:szCs w:val="22"/>
        </w:rPr>
        <w:t xml:space="preserve">Приложение №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Образцы форм документов, включаемых в состав заявки</w:t>
      </w:r>
      <w:bookmarkEnd w:id="407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408" w:name="_Toc51"/>
      <w:r>
        <w:rPr>
          <w:rFonts w:ascii="Times New Roman" w:hAnsi="Times New Roman" w:eastAsia="Times New Roman" w:cs="Times New Roman"/>
          <w:sz w:val="22"/>
          <w:szCs w:val="22"/>
        </w:rPr>
        <w:t xml:space="preserve">Пояснения к Образца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форм документов, включаемых в состав заявки</w:t>
      </w:r>
      <w:bookmarkEnd w:id="408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Образцы форм документов, включаемых в состав заявки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(с инструкциями по их оформлению)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приведены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отдельном файле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предоставляются отдельным документом в составе Документации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закупке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являющимся Приложением №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к Документации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закупке.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409" w:name="_Toc52"/>
      <w:r>
        <w:rPr>
          <w:rFonts w:ascii="Times New Roman" w:hAnsi="Times New Roman" w:eastAsia="Times New Roman" w:cs="Times New Roman"/>
          <w:sz w:val="22"/>
          <w:szCs w:val="22"/>
        </w:rPr>
      </w:r>
      <w:bookmarkStart w:id="307" w:name="Прил05_ФормыПобедителя"/>
      <w:r>
        <w:rPr>
          <w:rFonts w:ascii="Times New Roman" w:hAnsi="Times New Roman" w:eastAsia="Times New Roman" w:cs="Times New Roman"/>
          <w:sz w:val="22"/>
          <w:szCs w:val="22"/>
        </w:rPr>
      </w:r>
      <w:bookmarkEnd w:id="307"/>
      <w:r>
        <w:rPr>
          <w:rFonts w:ascii="Times New Roman" w:hAnsi="Times New Roman" w:eastAsia="Times New Roman" w:cs="Times New Roman"/>
          <w:sz w:val="22"/>
          <w:szCs w:val="22"/>
        </w:rPr>
        <w:t xml:space="preserve">Приложение № 5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–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Образцы форм документов, предоставляемых Победителем</w:t>
      </w:r>
      <w:bookmarkEnd w:id="409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410" w:name="_Toc53"/>
      <w:r>
        <w:rPr>
          <w:rFonts w:ascii="Times New Roman" w:hAnsi="Times New Roman" w:eastAsia="Times New Roman" w:cs="Times New Roman"/>
          <w:sz w:val="22"/>
          <w:szCs w:val="22"/>
        </w:rPr>
        <w:t xml:space="preserve">Пояснения к Образцам форм документов, предоставляемых Победителем</w:t>
      </w:r>
      <w:bookmarkEnd w:id="410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Образцы форм документов, предоставляемых Победителем (или Единственным участником, в случае признания закупки несостоявшейся и принятия решения о заключении договора с ее Единственным участником), 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также дополнительные пояснения по их предоставлению и инструкции по их оформлению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приведены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подразделах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_Ref130395470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10.2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_Ref130395475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10.3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411" w:name="_Toc54"/>
      <w:r>
        <w:rPr>
          <w:rFonts w:ascii="Times New Roman" w:hAnsi="Times New Roman" w:eastAsia="Times New Roman" w:cs="Times New Roman"/>
          <w:sz w:val="22"/>
          <w:szCs w:val="22"/>
        </w:rPr>
      </w:r>
      <w:bookmarkStart w:id="310" w:name="_Ref130395470"/>
      <w:r>
        <w:rPr>
          <w:rFonts w:ascii="Times New Roman" w:hAnsi="Times New Roman" w:eastAsia="Times New Roman" w:cs="Times New Roman"/>
          <w:sz w:val="22"/>
          <w:szCs w:val="22"/>
        </w:rPr>
        <w:t xml:space="preserve">Форма справки «Сведения о цепочке собственников, включая бенефициаров (в том числе конечных)»</w:t>
      </w:r>
      <w:bookmarkEnd w:id="310"/>
      <w:r>
        <w:rPr>
          <w:rFonts w:ascii="Times New Roman" w:hAnsi="Times New Roman" w:eastAsia="Times New Roman" w:cs="Times New Roman"/>
          <w:sz w:val="22"/>
          <w:szCs w:val="22"/>
        </w:rPr>
      </w:r>
      <w:bookmarkEnd w:id="411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Справка «Сведения о цепочке собственников, включая бенефициаров (в том числе конечных)» предоставляется Победителем закупки (поставщиком).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Форма справки «Сведения о цепочке собственников, включая бенефициаров (в том числе конечных)» </w: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t xml:space="preserve">c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приложением 1 «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Перечень подтверждающих документов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» и приложением 2 «Согласие на обработку и передачу персональных и иных охраняемых законом данных» приведена в отдельном файле в формате </w: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t xml:space="preserve">Microsoft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t xml:space="preserve">Word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312" w:name="_MON_1741074142"/>
      <w:r>
        <w:rPr>
          <w:rFonts w:ascii="Times New Roman" w:hAnsi="Times New Roman" w:eastAsia="Times New Roman" w:cs="Times New Roman"/>
          <w:sz w:val="22"/>
          <w:szCs w:val="22"/>
        </w:rPr>
      </w:r>
      <w:bookmarkEnd w:id="312"/>
      <w:r>
        <w:rPr>
          <w:rFonts w:ascii="Times New Roman" w:hAnsi="Times New Roman" w:eastAsia="Times New Roman" w:cs="Times New Roman"/>
          <w:sz w:val="22"/>
          <w:szCs w:val="2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90600" cy="638175"/>
                <wp:effectExtent l="0" t="0" r="0" b="0"/>
                <wp:docPr id="2" name="_x0000_i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0">
                          <a:extLst>
                            <a:ext uri="{96DAC541-7B7A-43D3-8B79-37D633B846F1}">
                              <asvg:svgBlip xmlns:asvg="http://schemas.microsoft.com/office/drawing/2016/SVG/main" r:embed="rId21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9060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78.00pt;height:50.25pt;mso-wrap-distance-left:0.00pt;mso-wrap-distance-top:0.00pt;mso-wrap-distance-right:0.00pt;mso-wrap-distance-bottom:0.00pt;" stroked="f">
                <v:path textboxrect="0,0,0,0"/>
                <v:imagedata r:id="rId20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412" w:name="_Toc55"/>
      <w:r>
        <w:rPr>
          <w:rFonts w:ascii="Times New Roman" w:hAnsi="Times New Roman" w:eastAsia="Times New Roman" w:cs="Times New Roman"/>
          <w:sz w:val="22"/>
          <w:szCs w:val="22"/>
        </w:rPr>
      </w:r>
      <w:bookmarkStart w:id="313" w:name="_Ref130395475"/>
      <w:r>
        <w:rPr>
          <w:rFonts w:ascii="Times New Roman" w:hAnsi="Times New Roman" w:eastAsia="Times New Roman" w:cs="Times New Roman"/>
          <w:sz w:val="22"/>
          <w:szCs w:val="22"/>
        </w:rPr>
        <w:t xml:space="preserve">Форма «Заверение об обстоятельствах»</w:t>
      </w:r>
      <w:bookmarkEnd w:id="313"/>
      <w:r>
        <w:rPr>
          <w:rFonts w:ascii="Times New Roman" w:hAnsi="Times New Roman" w:eastAsia="Times New Roman" w:cs="Times New Roman"/>
          <w:sz w:val="22"/>
          <w:szCs w:val="22"/>
        </w:rPr>
      </w:r>
      <w:bookmarkEnd w:id="412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Форма Заверени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об обстоятельствах предоставляется Победителем закупки (поставщиком) только при заключении договоров стоимостью свыше 100 000</w: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000 (Ста миллионов) рублей либо договоров (без ограничения по сумме), положения которых не содержат аналогичных заверений об обстоятельствах, и предоставляется Заказчику в срок не позднее 3</w: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(трех) рабочих дней с даты официального размещения Организатором итогового протокола по результатам закупки.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Победител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ь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закупки (поставщик) должен выбрать соответствующий ему вариант Заверения об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обстоятельствах, исходя из необходимости получения согласий органов управления / одобрения сделки органами управления Поставщика в соответствии с законодательством, уставом, внутренними документами и отдельными решениями органов управления Поставщика, для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последующего заключения Договора по предмету настоящей закупки.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Заверение об обстоятельствах следует оформить на официальном бланке Победителя закупки (поставщика) (с указанием даты 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номера в соответствии с принятыми у него правилами документооборота) и заверить подписью единоличного исполнительного органа Победителя закупки (поставщика) (или иным уполномоченным лицом на основании доверенности), а также скрепить печатью (при наличии).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keepNext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Форма «Заверение об обстоятельствах» приведена в отдельном файле в формате </w: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t xml:space="preserve">Microsoft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t xml:space="preserve">Word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jc w:val="center"/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315" w:name="_MON_1741074184"/>
      <w:r>
        <w:rPr>
          <w:rFonts w:ascii="Times New Roman" w:hAnsi="Times New Roman" w:eastAsia="Times New Roman" w:cs="Times New Roman"/>
          <w:sz w:val="22"/>
          <w:szCs w:val="22"/>
        </w:rPr>
      </w:r>
      <w:bookmarkEnd w:id="315"/>
      <w:r>
        <w:rPr>
          <w:rFonts w:ascii="Times New Roman" w:hAnsi="Times New Roman" w:eastAsia="Times New Roman" w:cs="Times New Roman"/>
          <w:sz w:val="22"/>
          <w:szCs w:val="2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90600" cy="638175"/>
                <wp:effectExtent l="0" t="0" r="0" b="0"/>
                <wp:docPr id="3" name="_x0000_i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2">
                          <a:extLst>
                            <a:ext uri="{96DAC541-7B7A-43D3-8B79-37D633B846F1}">
                              <asvg:svgBlip xmlns:asvg="http://schemas.microsoft.com/office/drawing/2016/SVG/main" r:embed="rId23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9060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78.00pt;height:50.25pt;mso-wrap-distance-left:0.00pt;mso-wrap-distance-top:0.00pt;mso-wrap-distance-right:0.00pt;mso-wrap-distance-bottom:0.00pt;" stroked="f">
                <v:path textboxrect="0,0,0,0"/>
                <v:imagedata r:id="rId22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413" w:name="_Toc56"/>
      <w:r>
        <w:rPr>
          <w:rFonts w:ascii="Times New Roman" w:hAnsi="Times New Roman" w:eastAsia="Times New Roman" w:cs="Times New Roman"/>
          <w:sz w:val="22"/>
          <w:szCs w:val="22"/>
        </w:rPr>
      </w:r>
      <w:bookmarkStart w:id="316" w:name="Прил06_СоставЗаявки"/>
      <w:r>
        <w:rPr>
          <w:rFonts w:ascii="Times New Roman" w:hAnsi="Times New Roman" w:eastAsia="Times New Roman" w:cs="Times New Roman"/>
          <w:sz w:val="22"/>
          <w:szCs w:val="22"/>
        </w:rPr>
      </w:r>
      <w:bookmarkEnd w:id="316"/>
      <w:r>
        <w:rPr>
          <w:rFonts w:ascii="Times New Roman" w:hAnsi="Times New Roman" w:eastAsia="Times New Roman" w:cs="Times New Roman"/>
          <w:sz w:val="22"/>
          <w:szCs w:val="22"/>
        </w:rPr>
        <w:t xml:space="preserve">Приложение №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6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Состав заявки</w:t>
      </w:r>
      <w:bookmarkEnd w:id="303"/>
      <w:r>
        <w:rPr>
          <w:rFonts w:ascii="Times New Roman" w:hAnsi="Times New Roman" w:eastAsia="Times New Roman" w:cs="Times New Roman"/>
          <w:sz w:val="22"/>
          <w:szCs w:val="22"/>
        </w:rPr>
      </w:r>
      <w:bookmarkEnd w:id="304"/>
      <w:r>
        <w:rPr>
          <w:rFonts w:ascii="Times New Roman" w:hAnsi="Times New Roman" w:eastAsia="Times New Roman" w:cs="Times New Roman"/>
          <w:sz w:val="22"/>
          <w:szCs w:val="22"/>
        </w:rPr>
      </w:r>
      <w:bookmarkEnd w:id="413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414" w:name="_Toc57"/>
      <w:r>
        <w:rPr>
          <w:rFonts w:ascii="Times New Roman" w:hAnsi="Times New Roman" w:eastAsia="Times New Roman" w:cs="Times New Roman"/>
          <w:sz w:val="22"/>
          <w:szCs w:val="22"/>
        </w:rPr>
        <w:t xml:space="preserve">Состав заявки</w:t>
      </w:r>
      <w:bookmarkEnd w:id="414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Заявка на участие в закупке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должна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состоять из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перв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част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втор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част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 ценово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го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предложени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я, которые должны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содержать следующий комплект документов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бразцы форм документов, включаемых в состав заявки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инструкциями по их оформлению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приведены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hyperlink w:tooltip="#Прил04_ФормыЗаявки" w:anchor="Прил04_ФормыЗаявки" w:history="1"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Приложени</w:t>
        </w:r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и</w:t>
        </w:r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 № </w:t>
        </w:r>
        <w:r>
          <w:rPr>
            <w:rStyle w:val="1184"/>
            <w:rFonts w:ascii="Times New Roman" w:hAnsi="Times New Roman" w:eastAsia="Times New Roman" w:cs="Times New Roman"/>
            <w:sz w:val="22"/>
            <w:szCs w:val="22"/>
          </w:rPr>
          <w:t xml:space="preserve">4</w:t>
        </w:r>
      </w:hyperlink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Style w:val="1181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8074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  <w:t xml:space="preserve">п/п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Наименование документа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60"/>
              <w:ind w:left="360"/>
              <w:jc w:val="center"/>
              <w:keepNext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60"/>
              <w:keepNext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Первая часть заявки: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Техническое предложение (форма 4), которое в том числе может включать План распределения объемов поставки продукции 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(без указания указание сведений, позволяющих каким-либо образом идентифицировать генерального подрядчика или привлекаемого им субподрядчика / соисполнителя)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Календарный график (форма 5) </w:t>
            </w:r>
            <w:r>
              <w:rPr>
                <w:rFonts w:eastAsia="Calibri" w:cs="Times New Roman"/>
                <w:i/>
                <w:sz w:val="22"/>
                <w:szCs w:val="22"/>
                <w:shd w:val="clear" w:color="auto" w:fill="d0cece"/>
              </w:rPr>
              <w:t xml:space="preserve">в рамках данной процедуры предоставление Календарного графика не требуется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Документы и сведения, предоставляемые в первой части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заявки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исключительно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для целей проведения оценки заявок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– предоставля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тся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если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Порядке и критериях оценки и сопоставления заявок (Приложение № 8)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установлен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соответствующ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критери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оценки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которые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касаются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продукции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или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слови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й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исполнения договора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(такие документы и сведения не должны позволять каким-либо образом идентифицировать Участника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, в том числе через сведения о материально-технических или кадровых ресурсах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60"/>
              <w:ind w:left="360"/>
              <w:jc w:val="center"/>
              <w:keepNext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60"/>
              <w:keepNext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Вторая часть заявки: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Письмо о подаче оферты (форма 2);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Анкета Участника (форма 6);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Документы, подтверждающие соответствие Участника обязательным требованиям Документации о закупке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Приложения № 3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а также необходимые документы для прохождения (при необходимости) процедуры аккредитации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– требования 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подтверждающим документам приведены в указанном подразделе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Документы, подтверждающие соответствие Участника специальным требованиям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предоставля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тся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если соответствующие требования установлены в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Документации о закупке (подраздел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_Ref125709153 \r \h  \* MERGEFORMAT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8.3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Приложения № 3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Документы, подтверждающие соответствие Генерального подрядчика требованиям Документации о закупке (подраздел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_Ref125709777 \r \h  \* MERGEFORMAT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8.4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Приложения № 3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предоставля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тся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если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Участник подает заявку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от лица Генерального подрядчика (подраздел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_Ref125361702 \r \h  \* MERGEFORMAT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t xml:space="preserve">3.2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), 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именно: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60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План распределения объемов поставки продукции,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представленны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й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нутри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60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прочие документы, определенные в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_Ref125709777 \r \h  \* MERGEFORMAT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8.4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Приложения № 3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319" w:name="_Ref132888537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319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Копия независимой гарантии –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предоставляется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при необходимости 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случае отсутствия внесенных Участником денежных средств на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специальный банковский счет;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320" w:name="_Ref130389408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320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Справка об опыте Участника (форма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с необходимыми приложениями 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ней, если требуется,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– предоставляется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 второй части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заявки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исключительно для целей проведения оценки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если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Порядк</w:t>
              </w:r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е</w:t>
              </w:r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 и критери</w:t>
              </w:r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ях</w:t>
              </w:r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 оценки и сопоставления заявок</w:t>
              </w:r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 (Приложение № </w:t>
              </w:r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8</w:t>
              </w:r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)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установлен соответствующий критерий оценки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части опыта;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321" w:name="_Ref130389413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321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Справка о материально-технических ресурсах (форма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необходимыми приложениями 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ней, если требуется,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предоставляется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 второй части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заявки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исключительно для целей проведения оценки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если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Порядке и критериях оценки и сопоставления заявок (Приложение № 8)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установлен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соответствующий критерий оценки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части наличия (привлечения) материально-технических ресурсов;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322" w:name="_Ref130389419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322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Справка о кадровых ресурсах (форма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с необходимыми приложениями 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ней, если требуется,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предоставляется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 второй части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заявки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исключительно для целей проведения оценки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если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Порядке и критериях оценки и сопоставления заявок (Приложение № 8)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установлен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соответствующий критерий оценки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части наличия (привлечения) кадровых ресурсов;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Справка об аффилированности Участника с изготовителем (производителем) предлагаемого товара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(форма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 – предоставляется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если Участники имеет признаки аффилированности согласно критериям, установленным в инструкции к указанной справке (дополнительно предоставляются документы, подтверждающие аффилированность по тому или иному критерию)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если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Порядке и критериях оценки и сопоставления заявок (Приложение № 8)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установлен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соответствующий критерий оценки в части наличия аффилированности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окумент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(или их копии)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подтверждающи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соответствие предлагаемой 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поставке продукции требованиям, установленным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hyperlink w:tooltip="#Прил01_ТехТребования" w:anchor="Прил01_ТехТребования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Технических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– предоставля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тся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если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Технических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было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установлено соответствующ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 требовани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60"/>
              <w:ind w:left="360"/>
              <w:jc w:val="center"/>
              <w:keepNext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60"/>
              <w:keepNext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Ценовое предложение: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Коммерческое предложение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(включая Структуру НМЦ)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(форма 3)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также дополнительно предоставля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тся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подтверждающая документация, составленная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соответствии 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Техническими требованиями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только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если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Технических требованиях установлены требования 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документации по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ценообразованию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(подраздел «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Требования 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документации по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ценообразованию на этапе закупки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»)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либо аналогичн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ые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по смыслу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1156"/>
        <w:rPr>
          <w:rStyle w:val="1165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pPr>
      <w:r>
        <w:rPr>
          <w:rStyle w:val="1165"/>
          <w:rFonts w:ascii="Times New Roman" w:hAnsi="Times New Roman" w:eastAsia="Times New Roman" w:cs="Times New Roman"/>
          <w:i w:val="0"/>
          <w:iCs w:val="0"/>
          <w:sz w:val="22"/>
          <w:szCs w:val="22"/>
          <w:shd w:val="clear" w:color="auto" w:fill="auto"/>
        </w:rPr>
        <w:t xml:space="preserve">Е</w:t>
      </w:r>
      <w:r>
        <w:rPr>
          <w:rStyle w:val="1165"/>
          <w:rFonts w:ascii="Times New Roman" w:hAnsi="Times New Roman" w:eastAsia="Times New Roman" w:cs="Times New Roman"/>
          <w:i w:val="0"/>
          <w:iCs w:val="0"/>
          <w:sz w:val="22"/>
          <w:szCs w:val="22"/>
          <w:shd w:val="clear" w:color="auto" w:fill="auto"/>
        </w:rPr>
        <w:t xml:space="preserve">сли по каким-либо причинам Участник не может предоставить какой-либо из</w:t>
      </w:r>
      <w:r>
        <w:rPr>
          <w:rStyle w:val="1165"/>
          <w:rFonts w:ascii="Times New Roman" w:hAnsi="Times New Roman" w:eastAsia="Times New Roman" w:cs="Times New Roman"/>
          <w:i w:val="0"/>
          <w:iCs w:val="0"/>
          <w:sz w:val="22"/>
          <w:szCs w:val="22"/>
          <w:shd w:val="clear" w:color="auto" w:fill="auto"/>
        </w:rPr>
        <w:t xml:space="preserve"> </w:t>
      </w:r>
      <w:r>
        <w:rPr>
          <w:rStyle w:val="1165"/>
          <w:rFonts w:ascii="Times New Roman" w:hAnsi="Times New Roman" w:eastAsia="Times New Roman" w:cs="Times New Roman"/>
          <w:i w:val="0"/>
          <w:iCs w:val="0"/>
          <w:sz w:val="22"/>
          <w:szCs w:val="22"/>
          <w:shd w:val="clear" w:color="auto" w:fill="auto"/>
        </w:rPr>
        <w:t xml:space="preserve">требуемых документов, он может в составе заявки приложить составленную в</w:t>
      </w:r>
      <w:r>
        <w:rPr>
          <w:rStyle w:val="1165"/>
          <w:rFonts w:ascii="Times New Roman" w:hAnsi="Times New Roman" w:eastAsia="Times New Roman" w:cs="Times New Roman"/>
          <w:i w:val="0"/>
          <w:iCs w:val="0"/>
          <w:sz w:val="22"/>
          <w:szCs w:val="22"/>
          <w:shd w:val="clear" w:color="auto" w:fill="auto"/>
        </w:rPr>
        <w:t xml:space="preserve"> </w:t>
      </w:r>
      <w:r>
        <w:rPr>
          <w:rStyle w:val="1165"/>
          <w:rFonts w:ascii="Times New Roman" w:hAnsi="Times New Roman" w:eastAsia="Times New Roman" w:cs="Times New Roman"/>
          <w:i w:val="0"/>
          <w:iCs w:val="0"/>
          <w:sz w:val="22"/>
          <w:szCs w:val="22"/>
          <w:shd w:val="clear" w:color="auto" w:fill="auto"/>
        </w:rPr>
        <w:t xml:space="preserve">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</w:t>
      </w:r>
      <w:r>
        <w:rPr>
          <w:rStyle w:val="1165"/>
          <w:rFonts w:ascii="Times New Roman" w:hAnsi="Times New Roman" w:eastAsia="Times New Roman" w:cs="Times New Roman"/>
          <w:i w:val="0"/>
          <w:iCs w:val="0"/>
          <w:sz w:val="22"/>
          <w:szCs w:val="22"/>
          <w:shd w:val="clear" w:color="auto" w:fill="auto"/>
        </w:rPr>
        <w:t xml:space="preserve"> </w:t>
      </w:r>
      <w:r>
        <w:rPr>
          <w:rStyle w:val="1165"/>
          <w:rFonts w:ascii="Times New Roman" w:hAnsi="Times New Roman" w:eastAsia="Times New Roman" w:cs="Times New Roman"/>
          <w:i w:val="0"/>
          <w:iCs w:val="0"/>
          <w:sz w:val="22"/>
          <w:szCs w:val="22"/>
          <w:shd w:val="clear" w:color="auto" w:fill="auto"/>
        </w:rPr>
        <w:t xml:space="preserve">Участника обязанности по предоставлению требуемого документа).</w:t>
      </w:r>
      <w:r>
        <w:rPr>
          <w:rStyle w:val="1165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r>
      <w:r>
        <w:rPr>
          <w:rStyle w:val="1165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r>
    </w:p>
    <w:p>
      <w:pPr>
        <w:pStyle w:val="1160"/>
        <w:rPr>
          <w:rStyle w:val="1165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i w:val="0"/>
          <w:iCs w:val="0"/>
          <w:sz w:val="22"/>
          <w:szCs w:val="22"/>
          <w:shd w:val="clear" w:color="auto" w:fill="auto"/>
        </w:rPr>
      </w:r>
      <w:r>
        <w:rPr>
          <w:rStyle w:val="1165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r>
      <w:r>
        <w:rPr>
          <w:rStyle w:val="1165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r>
    </w:p>
    <w:p>
      <w:pPr>
        <w:pStyle w:val="115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415" w:name="_Toc58"/>
      <w:r>
        <w:rPr>
          <w:rFonts w:ascii="Times New Roman" w:hAnsi="Times New Roman" w:eastAsia="Times New Roman" w:cs="Times New Roman"/>
          <w:sz w:val="22"/>
          <w:szCs w:val="22"/>
        </w:rPr>
      </w:r>
      <w:bookmarkStart w:id="323" w:name="Прил07_ОтборочныеКритерии"/>
      <w:r>
        <w:rPr>
          <w:rFonts w:ascii="Times New Roman" w:hAnsi="Times New Roman" w:eastAsia="Times New Roman" w:cs="Times New Roman"/>
          <w:sz w:val="22"/>
          <w:szCs w:val="22"/>
        </w:rPr>
      </w:r>
      <w:bookmarkStart w:id="324" w:name="_Ref125365264"/>
      <w:r>
        <w:rPr>
          <w:rFonts w:ascii="Times New Roman" w:hAnsi="Times New Roman" w:eastAsia="Times New Roman" w:cs="Times New Roman"/>
          <w:sz w:val="22"/>
          <w:szCs w:val="22"/>
        </w:rPr>
      </w:r>
      <w:bookmarkEnd w:id="323"/>
      <w:r>
        <w:rPr>
          <w:rFonts w:ascii="Times New Roman" w:hAnsi="Times New Roman" w:eastAsia="Times New Roman" w:cs="Times New Roman"/>
          <w:sz w:val="22"/>
          <w:szCs w:val="22"/>
        </w:rPr>
        <w:t xml:space="preserve">Приложение №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7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Отборочные критерии рассмотрения заявок</w:t>
      </w:r>
      <w:bookmarkEnd w:id="324"/>
      <w:r>
        <w:rPr>
          <w:rFonts w:ascii="Times New Roman" w:hAnsi="Times New Roman" w:eastAsia="Times New Roman" w:cs="Times New Roman"/>
          <w:sz w:val="22"/>
          <w:szCs w:val="22"/>
        </w:rPr>
      </w:r>
      <w:bookmarkEnd w:id="415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5"/>
        <w:spacing w:after="120"/>
        <w:rPr>
          <w:rStyle w:val="1165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416" w:name="_Toc59"/>
      <w:r>
        <w:rPr>
          <w:rStyle w:val="1165"/>
          <w:rFonts w:ascii="Times New Roman" w:hAnsi="Times New Roman" w:eastAsia="Times New Roman" w:cs="Times New Roman"/>
          <w:i w:val="0"/>
          <w:iCs w:val="0"/>
          <w:sz w:val="22"/>
          <w:szCs w:val="22"/>
          <w:shd w:val="clear" w:color="auto" w:fill="auto"/>
        </w:rPr>
        <w:t xml:space="preserve">Отборочные критерии рассмотрения </w:t>
      </w:r>
      <w:r>
        <w:rPr>
          <w:rStyle w:val="1165"/>
          <w:rFonts w:ascii="Times New Roman" w:hAnsi="Times New Roman" w:eastAsia="Times New Roman" w:cs="Times New Roman"/>
          <w:i w:val="0"/>
          <w:iCs w:val="0"/>
          <w:sz w:val="22"/>
          <w:szCs w:val="22"/>
          <w:shd w:val="clear" w:color="auto" w:fill="auto"/>
        </w:rPr>
        <w:t xml:space="preserve">первых частей </w:t>
      </w:r>
      <w:r>
        <w:rPr>
          <w:rStyle w:val="1165"/>
          <w:rFonts w:ascii="Times New Roman" w:hAnsi="Times New Roman" w:eastAsia="Times New Roman" w:cs="Times New Roman"/>
          <w:i w:val="0"/>
          <w:iCs w:val="0"/>
          <w:sz w:val="22"/>
          <w:szCs w:val="22"/>
          <w:shd w:val="clear" w:color="auto" w:fill="auto"/>
        </w:rPr>
        <w:t xml:space="preserve">заявок</w:t>
      </w:r>
      <w:r>
        <w:rPr>
          <w:rStyle w:val="1165"/>
          <w:rFonts w:ascii="Times New Roman" w:hAnsi="Times New Roman" w:eastAsia="Times New Roman" w:cs="Times New Roman"/>
          <w:i w:val="0"/>
          <w:iCs w:val="0"/>
          <w:sz w:val="22"/>
          <w:szCs w:val="22"/>
          <w:shd w:val="clear" w:color="auto" w:fill="auto"/>
        </w:rPr>
      </w:r>
      <w:bookmarkEnd w:id="416"/>
      <w:r>
        <w:rPr>
          <w:rStyle w:val="1165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r>
      <w:r>
        <w:rPr>
          <w:rStyle w:val="1165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r>
    </w:p>
    <w:tbl>
      <w:tblPr>
        <w:tblStyle w:val="1181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Номер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  <w:t xml:space="preserve">критерия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отборочного критерия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Номер пункта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Документации о закупке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Направления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оценки заявок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*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60"/>
              <w:keepNext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Состав и правильность оформления 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первой части 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заявки, в том числе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Наличие в составе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первой части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заявки обязательных 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предоставлению (для целей рассмотрения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первых частей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Приложения № 6 «Состав заявки»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а также правильность их оформления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т.ч. в части языка заявки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60"/>
              <w:jc w:val="center"/>
              <w:rPr>
                <w:rStyle w:val="1184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_Ref125362119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4.6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hyperlink w:tooltip="#Прил06_СоставЗаявки" w:anchor="Прил06_СоставЗаявки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6</w:t>
              </w:r>
            </w:hyperlink>
            <w:r>
              <w:rPr>
                <w:rStyle w:val="1184"/>
                <w:rFonts w:ascii="Times New Roman" w:hAnsi="Times New Roman" w:cs="Times New Roman"/>
                <w:sz w:val="22"/>
                <w:szCs w:val="22"/>
              </w:rPr>
            </w:r>
            <w:r>
              <w:rPr>
                <w:rStyle w:val="1184"/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Тех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Отсутствие в материалах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(документах) первой части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заявки недостоверных сведений или намеренно искаженной информации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документов, внутренних противоречий между различными частями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документами заявки,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том числе по тексту внутри одного документа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также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противоречий между документами заявки и сведениями, указанными Участником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структурированных формах на ЭП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Тех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Отсутствие в материалах первой части заявки сведений об Участнике 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о его ценовом предложении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Тех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60"/>
              <w:keepNext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Соответствие 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ехническ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ого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 предложени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84"/>
                  <w:rFonts w:ascii="Times New Roman" w:hAnsi="Times New Roman" w:eastAsia="Times New Roman" w:cs="Times New Roman"/>
                  <w:b/>
                  <w:bCs/>
                  <w:sz w:val="22"/>
                  <w:szCs w:val="22"/>
                </w:rPr>
                <w:t xml:space="preserve">Техническим требованиям (Приложение № 1)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, в том числе: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60"/>
              <w:jc w:val="center"/>
              <w:keepNext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60"/>
              <w:jc w:val="center"/>
              <w:keepNext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Соответствие предложения установленным требованиям к предоставлению национального режима, в том числе в части состава и требований к информации и перечню документов, которые подтверждают страну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происхождения товара, установленным в </w:t>
            </w:r>
            <w:hyperlink w:tooltip="#Прил01_ТехТребования" w:anchor="Прил01_ТехТребования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Технических требованиях (Приложение № 1)</w:t>
              </w:r>
            </w:hyperlink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instrText xml:space="preserve"> REF _Ref186219943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))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_Ref186219943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1</w:t>
              </w:r>
            </w:hyperlink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Тех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Соответствие предложения установленным требованиям к предоставлению национального режима в части предоставления информации и перечня документов, которые подтверждают страну происхождения товара, установленным в </w:t>
            </w:r>
            <w:hyperlink w:tooltip="#Прил01_ТехТребования" w:anchor="Прил01_ТехТребования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Технических требованиях (Приложение № 1)</w:t>
              </w:r>
            </w:hyperlink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 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instrText xml:space="preserve"> REF _Ref186219943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))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_Ref186219943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1</w:t>
              </w:r>
            </w:hyperlink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Тех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Соответствие объ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мов и состава работ / услуг, технологии производства работ, предложенных Участником в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ехническом предложении, требованиям,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указанным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Технический требованиях (Приложение № 1)</w:t>
              </w:r>
            </w:hyperlink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1</w:t>
              </w:r>
            </w:hyperlink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Тех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Соответствие номенклатуры, количества и характеристик материалов / оборудования, предложенных Участником в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ехническом предложении,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требованиям, указанным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Технический требованиях (Приложение № 1)</w:t>
              </w:r>
            </w:hyperlink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1</w:t>
              </w:r>
            </w:hyperlink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Тех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Соответствие Календарного графика требованиям к срокам и этапам реализации Договора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указанным в </w:t>
            </w:r>
            <w:hyperlink w:tooltip="#Прил01_ТехТребования" w:anchor="Прил01_ТехТребования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Технический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Проекте договора (Приложение № 2)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eastAsia="Calibri" w:cs="Times New Roman"/>
                <w:i/>
                <w:sz w:val="22"/>
                <w:szCs w:val="22"/>
                <w:shd w:val="clear" w:color="auto" w:fill="d0cece"/>
              </w:rPr>
              <w:t xml:space="preserve">в рамках данной процедуры предоставление Календарного графика не требуется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hyperlink w:tooltip="#Прил01_ТехТребования" w:anchor="Прил01_ТехТребования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1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hyperlink w:tooltip="#Прил02_ПроектДоговора" w:anchor="Прил02_ПроектДоговора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2</w:t>
              </w:r>
            </w:hyperlink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Тех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Соответствие требованиям к гарантии на поставляемые материалы / оборудование и результаты выполненных работ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указанным в </w:t>
            </w:r>
            <w:hyperlink w:tooltip="#Прил01_ТехТребования" w:anchor="Прил01_ТехТребования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Технический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Проекте договора (Приложение № 2)</w:t>
              </w:r>
            </w:hyperlink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ункт применяется только в случае установления соответствующих требований)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hyperlink w:tooltip="#Прил01_ТехТребования" w:anchor="Прил01_ТехТребования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1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hyperlink w:tooltip="#Прил02_ПроектДоговора" w:anchor="Прил02_ПроектДоговора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2</w:t>
              </w:r>
            </w:hyperlink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Тех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8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Соответствие предлагаемой к поставке продукции дополнительным требованиям,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установленным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Технический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с предоставлением требуемых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подтверждающих документов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ункт применяется только в случае установления соответствующих требований)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hyperlink w:tooltip="#Прил01_ТехТребования" w:anchor="Прил01_ТехТребования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1</w:t>
              </w:r>
            </w:hyperlink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Тех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1155"/>
        <w:spacing w:after="120"/>
        <w:rPr>
          <w:rStyle w:val="1165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417" w:name="_Toc60"/>
      <w:r>
        <w:rPr>
          <w:rFonts w:ascii="Times New Roman" w:hAnsi="Times New Roman" w:eastAsia="Times New Roman" w:cs="Times New Roman"/>
          <w:sz w:val="22"/>
          <w:szCs w:val="22"/>
        </w:rPr>
      </w:r>
      <w:bookmarkStart w:id="328" w:name="_Hlk132891087"/>
      <w:r>
        <w:rPr>
          <w:rStyle w:val="1165"/>
          <w:rFonts w:ascii="Times New Roman" w:hAnsi="Times New Roman" w:eastAsia="Times New Roman" w:cs="Times New Roman"/>
          <w:i w:val="0"/>
          <w:iCs w:val="0"/>
          <w:sz w:val="22"/>
          <w:szCs w:val="22"/>
          <w:shd w:val="clear" w:color="auto" w:fill="auto"/>
        </w:rPr>
        <w:t xml:space="preserve">Отборочные критерии рассмотрения вторых частей заявок</w:t>
      </w:r>
      <w:bookmarkEnd w:id="328"/>
      <w:r>
        <w:rPr>
          <w:rStyle w:val="1165"/>
          <w:rFonts w:ascii="Times New Roman" w:hAnsi="Times New Roman" w:eastAsia="Times New Roman" w:cs="Times New Roman"/>
          <w:i w:val="0"/>
          <w:iCs w:val="0"/>
          <w:sz w:val="22"/>
          <w:szCs w:val="22"/>
          <w:shd w:val="clear" w:color="auto" w:fill="auto"/>
        </w:rPr>
      </w:r>
      <w:bookmarkEnd w:id="417"/>
      <w:r>
        <w:rPr>
          <w:rStyle w:val="1165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r>
      <w:r>
        <w:rPr>
          <w:rStyle w:val="1165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r>
    </w:p>
    <w:tbl>
      <w:tblPr>
        <w:tblStyle w:val="1181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Номер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  <w:t xml:space="preserve">критерия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отборочного критерия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Номер пункта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Документации о закупке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Направления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оценки заявок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*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60"/>
              <w:keepNext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Состав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и правильность оформления 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второй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 части 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заявки, в том числе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Наличие в составе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второй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части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заявки всех обязательных 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предоставлению (для целей рассмотрения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вторых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частей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Приложения № 6 «Состав заявки»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а также правильность их оформления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т.ч. в части наличия должных печатей, подписей, формы заверения, языка и валюты заявки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60"/>
              <w:jc w:val="center"/>
              <w:rPr>
                <w:rStyle w:val="1184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_Ref125362119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4.6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hyperlink w:tooltip="#Прил06_СоставЗаявки" w:anchor="Прил06_СоставЗаявки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6</w:t>
              </w:r>
            </w:hyperlink>
            <w:r>
              <w:rPr>
                <w:rStyle w:val="1184"/>
                <w:rFonts w:ascii="Times New Roman" w:hAnsi="Times New Roman" w:cs="Times New Roman"/>
                <w:sz w:val="22"/>
                <w:szCs w:val="22"/>
              </w:rPr>
            </w:r>
            <w:r>
              <w:rPr>
                <w:rStyle w:val="1184"/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Орг, Тех,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  <w:t xml:space="preserve">Юр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330" w:name="_Ref132890414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End w:id="330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Наличие обеспечения обязательств Участника, связанного с подачей заявки, в виде независимой гарантии и ее соответствие установленным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требованиям Документации о закупке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если подразделом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_Ref125359973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предусмотрена обязанность Участников предоставить обеспечение заявки на участие в закупке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 в случае отсутствия внесение денежных средств на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специальный банковский счет, открытый Участником в банке, включенном в перечень, определенный Правительством Российской Федерации в соответствии с Законом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44-ФЗ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_Ref130455226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4.18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Орг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 части наличия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сведений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реестре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Фин – в части соответствия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Отсутствие в материалах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(документах) второй части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заявки недостоверных сведений или намеренно искаженной информации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документов, внутренних противоречий между различными частями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документами заявки,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том числе по тексту внутри одного документа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а также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противоречий между документами заявки и сведениями, указанными Участником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структурированных формах на ЭП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Орг, Тех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  <w:t xml:space="preserve">Юр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60"/>
              <w:keepNext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Соответствие Письма о подаче оферты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60"/>
              <w:jc w:val="center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–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60"/>
              <w:jc w:val="center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–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Соответствие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(в том числе содержание)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Письма о подаче оферты установленной форме и иным требованиям Документации о закупке, в т.ч. в части срока действия заявки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hyperlink w:tooltip="#Прил04_ФормыЗаявки" w:anchor="Прил04_ФормыЗаявки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4</w:t>
              </w:r>
            </w:hyperlink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Орг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60"/>
              <w:keepNext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Соответствие Участника установленным требованиям Документации о закупке, в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том числе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Соответствие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Участника пункту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_Ref125552433 \w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обязательных требований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к Участникам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 рамках осуществления экспертизы заявки Участника в том числе проверяется наличие у него статуса «аккредитован» / «аккредитация не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требуется», или проводится процедура 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его 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аккредитации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(при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необходимости). В рамках заключения Договора Победитель в целях подтверждения своего соответствия предоставляет документы в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порядке, предусмотренном подразделом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instrText xml:space="preserve"> REF _Ref138341423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5.2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Орг,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Юр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Соответствие Участника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пункт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_Ref132893662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обязательных требований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к Участникам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Орг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Соответствие Участника пункт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обязательных требований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к Участникам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Орг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Соответствие Участника пункту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_Ref186220330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обязательных требований к Участникам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instrText xml:space="preserve"> REF _Ref186219943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))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Орг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Соответствие Участника пункту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_Ref186220335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обязательных требований к Участникам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 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instrText xml:space="preserve"> REF _Ref186219943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))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_Ref125361435 \w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8.2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Орг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Соответствие Участника специальным требованиям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к Участникам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ункт применяется только в случае установления соответствующих требований)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_Ref125361442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8.3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Тех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Соответствие Генерального подрядчика установленным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 отношении его требованиям: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пункт применяется только в случае проведения закупки, принять участие в которой можно от лица Генерального подрядчика 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(подраздел 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instrText xml:space="preserve"> REF _Ref125359973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, подраздел 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instrText xml:space="preserve"> REF _Ref125361702 \r \h </w:instrTex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3.2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) и заявка подана от его лица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–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–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60"/>
              <w:numPr>
                <w:ilvl w:val="1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 части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требований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пунктов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_Ref125370187 \w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_Ref125553847 \w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_Ref125709777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8.4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Тех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60"/>
              <w:numPr>
                <w:ilvl w:val="1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 части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требований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пункта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_Ref125370193 \w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\* MERGEFORMAT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_Ref125709777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 xml:space="preserve">8.4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3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Орг, Тех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60"/>
              <w:keepNext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Соответствие 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ехническ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ого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 предложени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84"/>
                  <w:rFonts w:ascii="Times New Roman" w:hAnsi="Times New Roman" w:eastAsia="Times New Roman" w:cs="Times New Roman"/>
                  <w:b/>
                  <w:bCs/>
                  <w:sz w:val="22"/>
                  <w:szCs w:val="22"/>
                </w:rPr>
                <w:t xml:space="preserve">Техническим требованиям (Приложение № 1)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, в том числе: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60"/>
              <w:jc w:val="center"/>
              <w:keepNext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60"/>
              <w:jc w:val="center"/>
              <w:keepNext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17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Соответствие предлагаемой к поставке продукции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иным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требованиям,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установленным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Технически</w:t>
              </w:r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х</w:t>
              </w:r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предоставлением требуемых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подтверждающих документов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ункт применяется только в случае установления соответствующих требований)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hyperlink w:tooltip="#Прил01_ТехТребования" w:anchor="Прил01_ТехТребования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1</w:t>
              </w:r>
            </w:hyperlink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Тех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1155"/>
        <w:spacing w:after="120"/>
        <w:rPr>
          <w:rStyle w:val="1165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418" w:name="_Toc61"/>
      <w:r>
        <w:rPr>
          <w:rStyle w:val="1165"/>
          <w:rFonts w:ascii="Times New Roman" w:hAnsi="Times New Roman" w:eastAsia="Times New Roman" w:cs="Times New Roman"/>
          <w:i w:val="0"/>
          <w:iCs w:val="0"/>
          <w:sz w:val="22"/>
          <w:szCs w:val="22"/>
          <w:shd w:val="clear" w:color="auto" w:fill="auto"/>
        </w:rPr>
        <w:t xml:space="preserve">Отборочные критерии рассмотрения ценовых предложений</w:t>
      </w:r>
      <w:r>
        <w:rPr>
          <w:rStyle w:val="1165"/>
          <w:rFonts w:ascii="Times New Roman" w:hAnsi="Times New Roman" w:eastAsia="Times New Roman" w:cs="Times New Roman"/>
          <w:i w:val="0"/>
          <w:iCs w:val="0"/>
          <w:sz w:val="22"/>
          <w:szCs w:val="22"/>
          <w:shd w:val="clear" w:color="auto" w:fill="auto"/>
        </w:rPr>
      </w:r>
      <w:bookmarkEnd w:id="418"/>
      <w:r>
        <w:rPr>
          <w:rStyle w:val="1165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r>
      <w:r>
        <w:rPr>
          <w:rStyle w:val="1165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r>
    </w:p>
    <w:tbl>
      <w:tblPr>
        <w:tblStyle w:val="1181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Номер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  <w:t xml:space="preserve">критерия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отборочного критерия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Номер пункта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Документации о закупке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Направления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оценки заявок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*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60"/>
              <w:keepNext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Состав, содержание и правильность оформления 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ценового предложения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, в том числе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Соответствие ценового предложения по составу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требованиям </w:t>
            </w:r>
            <w:hyperlink w:tooltip="#Прил06_СоставЗаявки" w:anchor="Прил06_СоставЗаявки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Приложения № 6 «Состав заявки»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а также правильности оформления документов, входящих в его состав, в том числе установленной форме и иным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и иным требованиям Документации о закупке (в т.ч. в части языка и валюты заявки)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_Ref125362119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4.6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60"/>
              <w:jc w:val="center"/>
              <w:rPr>
                <w:rStyle w:val="1184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hyperlink w:tooltip="#Прил06_СоставЗаявки" w:anchor="Прил06_СоставЗаявки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6</w:t>
              </w:r>
            </w:hyperlink>
            <w:r>
              <w:rPr>
                <w:rStyle w:val="1184"/>
                <w:rFonts w:ascii="Times New Roman" w:hAnsi="Times New Roman" w:cs="Times New Roman"/>
                <w:sz w:val="22"/>
                <w:szCs w:val="22"/>
              </w:rPr>
            </w:r>
            <w:r>
              <w:rPr>
                <w:rStyle w:val="1184"/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Цена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Отсутствие в материалах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(документов)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ценового предложения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недостоверных сведений или намеренно искаженной информации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документов, внутренних противоречий между различными частями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документами заявки,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том числе по тексту внутри одного документа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а также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противоречий между документами заявки и сведениями, указанными Участником в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структурированных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формах на ЭП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Цена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60"/>
              <w:keepNext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Соответствие Коммерческого предложения Участника требованиям Документации о закупке, в том числе: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60"/>
              <w:jc w:val="center"/>
              <w:keepNext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60"/>
              <w:jc w:val="center"/>
              <w:keepNext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–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Соответствие Коммерческого предложения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подразделы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_Ref130394681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hyperlink w:tooltip="#Прил04_ФормыЗаявки" w:anchor="Прил04_ФормыЗаявки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4</w:t>
              </w:r>
            </w:hyperlink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Цена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18"/>
              </w:numPr>
              <w:ind w:left="1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Соответствие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подтверждающей документации, прилагаемой 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en-US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Коммерческому приложению (форма 3) (</w:t>
            </w:r>
            <w:hyperlink w:tooltip="#Прил04_ФормыЗаявки" w:anchor="Прил04_ФормыЗаявки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4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требованиям,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указанным 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Технически</w:t>
              </w:r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х</w:t>
              </w:r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 требованиях (Приложение № 1)</w:t>
              </w:r>
            </w:hyperlink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ункт применяется только в случае установления соответствующих 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требований в </w:t>
            </w:r>
            <w:hyperlink w:tooltip="#Прил01_ТехТребования" w:anchor="Прил01_ТехТребования" w:history="1">
              <w:r>
                <w:rPr>
                  <w:rStyle w:val="1184"/>
                  <w:rFonts w:ascii="Times New Roman" w:hAnsi="Times New Roman" w:eastAsia="Times New Roman" w:cs="Times New Roman"/>
                  <w:i/>
                  <w:iCs/>
                  <w:sz w:val="22"/>
                  <w:szCs w:val="22"/>
                </w:rPr>
                <w:t xml:space="preserve">Технических требованиях (Приложение № 1)</w:t>
              </w:r>
            </w:hyperlink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hyperlink w:tooltip="#Прил01_ТехТребования" w:anchor="Прил01_ТехТребования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1</w:t>
              </w:r>
            </w:hyperlink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Цена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1155"/>
        <w:rPr>
          <w:rStyle w:val="1165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419" w:name="_Toc62"/>
      <w:r>
        <w:rPr>
          <w:rStyle w:val="1165"/>
          <w:rFonts w:ascii="Times New Roman" w:hAnsi="Times New Roman" w:eastAsia="Times New Roman" w:cs="Times New Roman"/>
          <w:i w:val="0"/>
          <w:iCs w:val="0"/>
          <w:sz w:val="22"/>
          <w:szCs w:val="22"/>
          <w:shd w:val="clear" w:color="auto" w:fill="auto"/>
        </w:rPr>
        <w:t xml:space="preserve">Дополнительные</w:t>
      </w:r>
      <w:r>
        <w:rPr>
          <w:rStyle w:val="1165"/>
          <w:rFonts w:ascii="Times New Roman" w:hAnsi="Times New Roman" w:eastAsia="Times New Roman" w:cs="Times New Roman"/>
          <w:i w:val="0"/>
          <w:iCs w:val="0"/>
          <w:sz w:val="22"/>
          <w:szCs w:val="22"/>
          <w:shd w:val="clear" w:color="auto" w:fill="auto"/>
        </w:rPr>
        <w:t xml:space="preserve"> критерии проверки заяв</w:t>
      </w:r>
      <w:r>
        <w:rPr>
          <w:rStyle w:val="1165"/>
          <w:rFonts w:ascii="Times New Roman" w:hAnsi="Times New Roman" w:eastAsia="Times New Roman" w:cs="Times New Roman"/>
          <w:i w:val="0"/>
          <w:iCs w:val="0"/>
          <w:sz w:val="22"/>
          <w:szCs w:val="22"/>
          <w:shd w:val="clear" w:color="auto" w:fill="auto"/>
        </w:rPr>
        <w:t xml:space="preserve">ок</w:t>
      </w:r>
      <w:r>
        <w:rPr>
          <w:rStyle w:val="1165"/>
          <w:rFonts w:ascii="Times New Roman" w:hAnsi="Times New Roman" w:eastAsia="Times New Roman" w:cs="Times New Roman"/>
          <w:i w:val="0"/>
          <w:iCs w:val="0"/>
          <w:sz w:val="22"/>
          <w:szCs w:val="22"/>
          <w:shd w:val="clear" w:color="auto" w:fill="auto"/>
        </w:rPr>
        <w:t xml:space="preserve"> на соответстви</w:t>
      </w:r>
      <w:r>
        <w:rPr>
          <w:rStyle w:val="1165"/>
          <w:rFonts w:ascii="Times New Roman" w:hAnsi="Times New Roman" w:eastAsia="Times New Roman" w:cs="Times New Roman"/>
          <w:i w:val="0"/>
          <w:iCs w:val="0"/>
          <w:sz w:val="22"/>
          <w:szCs w:val="22"/>
          <w:shd w:val="clear" w:color="auto" w:fill="auto"/>
        </w:rPr>
        <w:t xml:space="preserve">е</w:t>
      </w:r>
      <w:r>
        <w:rPr>
          <w:rStyle w:val="1165"/>
          <w:rFonts w:ascii="Times New Roman" w:hAnsi="Times New Roman" w:eastAsia="Times New Roman" w:cs="Times New Roman"/>
          <w:i w:val="0"/>
          <w:iCs w:val="0"/>
          <w:sz w:val="22"/>
          <w:szCs w:val="22"/>
          <w:shd w:val="clear" w:color="auto" w:fill="auto"/>
        </w:rPr>
        <w:t xml:space="preserve"> условиям Документации о закупке</w:t>
      </w:r>
      <w:r>
        <w:rPr>
          <w:rStyle w:val="1165"/>
          <w:rFonts w:ascii="Times New Roman" w:hAnsi="Times New Roman" w:eastAsia="Times New Roman" w:cs="Times New Roman"/>
          <w:i w:val="0"/>
          <w:iCs w:val="0"/>
          <w:sz w:val="22"/>
          <w:szCs w:val="22"/>
          <w:shd w:val="clear" w:color="auto" w:fill="auto"/>
        </w:rPr>
      </w:r>
      <w:bookmarkEnd w:id="419"/>
      <w:r>
        <w:rPr>
          <w:rStyle w:val="1165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r>
      <w:r>
        <w:rPr>
          <w:rStyle w:val="1165"/>
          <w:rFonts w:ascii="Times New Roman" w:hAnsi="Times New Roman" w:cs="Times New Roman"/>
          <w:i w:val="0"/>
          <w:iCs w:val="0"/>
          <w:sz w:val="22"/>
          <w:szCs w:val="22"/>
          <w:shd w:val="clear" w:color="auto" w:fill="auto"/>
        </w:rPr>
      </w:r>
    </w:p>
    <w:p>
      <w:pPr>
        <w:pStyle w:val="1160"/>
        <w:keepNext/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Несоответстви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одному или всем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дополнительн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ым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критери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ям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не являет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основанием для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отклонения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заявки.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Style w:val="1181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Номер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  <w:t xml:space="preserve">критерия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отборочного критерия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Номер пункта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Документации о закупке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Направления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оценки заявок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*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Наличие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 заявке в форме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Коммерческо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го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предложени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информации 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стране происхождения товара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60"/>
              <w:jc w:val="center"/>
              <w:rPr>
                <w:rStyle w:val="1184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подраздел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instrText xml:space="preserve"> REF _Ref132816300 \r \h </w:instrTex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4.14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</w:r>
            <w:hyperlink w:tooltip="#Прил04_ФормыЗаявки" w:anchor="Прил04_ФормыЗаявки" w:history="1">
              <w:r>
                <w:rPr>
                  <w:rStyle w:val="1184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Приложение № 4</w:t>
              </w:r>
            </w:hyperlink>
            <w:r>
              <w:rPr>
                <w:rStyle w:val="1184"/>
                <w:rFonts w:ascii="Times New Roman" w:hAnsi="Times New Roman" w:cs="Times New Roman"/>
                <w:sz w:val="22"/>
                <w:szCs w:val="22"/>
              </w:rPr>
            </w:r>
            <w:r>
              <w:rPr>
                <w:rStyle w:val="1184"/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Цена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1160"/>
        <w:keepNext/>
        <w:spacing w:before="240"/>
        <w:tabs>
          <w:tab w:val="left" w:pos="851" w:leader="none"/>
        </w:tabs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* 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Направления оценки заявок:</w:t>
      </w:r>
      <w:r>
        <w:rPr>
          <w:rFonts w:ascii="Times New Roman" w:hAnsi="Times New Roman" w:cs="Times New Roman"/>
          <w:b/>
          <w:bCs/>
          <w:sz w:val="22"/>
          <w:szCs w:val="22"/>
        </w:rPr>
      </w:r>
      <w:r>
        <w:rPr>
          <w:rFonts w:ascii="Times New Roman" w:hAnsi="Times New Roman" w:cs="Times New Roman"/>
          <w:b/>
          <w:bCs/>
          <w:sz w:val="22"/>
          <w:szCs w:val="22"/>
        </w:rPr>
      </w:r>
    </w:p>
    <w:p>
      <w:pPr>
        <w:pStyle w:val="1160"/>
        <w:ind w:left="1701" w:hanging="1701"/>
        <w:tabs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Орг</w:t>
      </w:r>
      <w:r>
        <w:rPr>
          <w:rFonts w:ascii="Times New Roman" w:hAnsi="Times New Roman" w:eastAsia="Times New Roman" w:cs="Times New Roman"/>
          <w:sz w:val="22"/>
          <w:szCs w:val="22"/>
        </w:rPr>
        <w:tab/>
        <w:t xml:space="preserve">–</w:t>
      </w:r>
      <w:r>
        <w:rPr>
          <w:rFonts w:ascii="Times New Roman" w:hAnsi="Times New Roman" w:eastAsia="Times New Roman" w:cs="Times New Roman"/>
          <w:sz w:val="22"/>
          <w:szCs w:val="22"/>
        </w:rPr>
        <w:tab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проверка наличия в составе заявки необходимых документов для рассмотрения экспертом по своему направлению: проверка наличия в составе заявке и оценка правильности оформления Письма о подаче оферты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наличия обеспечения обязательств Участника, связанного с подачей заявки, в виде независимой гарантии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(в том числе наличие сведений о ней в соответствующем реестре в ЕИС)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– в случае отсутствия внесенных Участником денежных средств на специальный банковский счет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2"/>
          <w:szCs w:val="22"/>
        </w:rPr>
        <w:t xml:space="preserve">(последние применяется только в случае установления соответствующих требований)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наличие у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Участника статуса «аккредитован», либо статуса «аккредитация не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требуется» (или наличие заявки на аккредитацию (при необходимости))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участвует в процедуре актуализации статуса аккредитации (при необходимости)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проверка отсутствие сведений об Участнике в перечне юридических лиц, в отношении которых применяются специальные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экономические меры, утвержденном Постановлением Правительства Российской Федерации от 11.05.2022 №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851;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проверка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наличи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информации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б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Участнике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в Реестре МСП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https://rmsp.nalog.ru/index.html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), 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отношении физических лиц, не являющихся индивидуальными предпринимателями и применяющих специальный налоговый режим «Налог на</w: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профессиональный доход»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–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наличие информации на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фициальном сайте федерального органа исполнительной власти, уполномоченного 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контролю и надзору в области налогов и сборов, о применении ими такого налогового режима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https://npd.nalog.ru/check-status/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left="1701" w:hanging="1701"/>
        <w:tabs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Тех</w:t>
      </w:r>
      <w:r>
        <w:rPr>
          <w:rFonts w:ascii="Times New Roman" w:hAnsi="Times New Roman" w:eastAsia="Times New Roman" w:cs="Times New Roman"/>
          <w:sz w:val="22"/>
          <w:szCs w:val="22"/>
        </w:rPr>
        <w:tab/>
        <w:t xml:space="preserve">–</w:t>
      </w:r>
      <w:r>
        <w:rPr>
          <w:rFonts w:ascii="Times New Roman" w:hAnsi="Times New Roman" w:eastAsia="Times New Roman" w:cs="Times New Roman"/>
          <w:sz w:val="22"/>
          <w:szCs w:val="22"/>
        </w:rPr>
        <w:tab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проверка наличия в составе заявки всех необходимых документов для рассмотрения экспертом по своему направлению, а также правильности их оформления; оценка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ехнических предложений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 сведений, подтверждающих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соответстви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я Участника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специальным требованиям Документации о закупке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 оценка квалификационных данных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Участника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(в рамках оценки заявок 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соответствующим критериям оценки),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проверка технической части подтверждающей документации, прилагаемой к Коммерческому предложению (при наличии), а также, при необходимости, технических условий исполнения Договора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left="1701" w:hanging="1701"/>
        <w:tabs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Юр</w:t>
      </w:r>
      <w:r>
        <w:rPr>
          <w:rFonts w:ascii="Times New Roman" w:hAnsi="Times New Roman" w:eastAsia="Times New Roman" w:cs="Times New Roman"/>
          <w:sz w:val="22"/>
          <w:szCs w:val="22"/>
        </w:rPr>
        <w:tab/>
        <w:t xml:space="preserve">–</w:t>
      </w:r>
      <w:r>
        <w:rPr>
          <w:rFonts w:ascii="Times New Roman" w:hAnsi="Times New Roman" w:eastAsia="Times New Roman" w:cs="Times New Roman"/>
          <w:sz w:val="22"/>
          <w:szCs w:val="22"/>
        </w:rPr>
        <w:tab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проверка наличия в составе заявки всех необходимых документов для рассмотрени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я экспертом по своему направлению, а также оценка правильности их оформления (в т.ч. в части наличия должных печатей, подписей формы заверения, языка заявки); оценка юридических аспектов заявки, в том числе оценка правомочности подписанта доверенности (при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необходимости) на основании выписки из ЕГРЮЛ (выписка из ЕГРЮЛ доступна на официальном сервисе ФНС России https://egrul.nalog.ru/index.html)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left="1701" w:hanging="1701"/>
        <w:keepNext/>
        <w:tabs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Цена</w:t>
      </w:r>
      <w:r>
        <w:rPr>
          <w:rFonts w:ascii="Times New Roman" w:hAnsi="Times New Roman" w:eastAsia="Times New Roman" w:cs="Times New Roman"/>
          <w:sz w:val="22"/>
          <w:szCs w:val="22"/>
        </w:rPr>
        <w:tab/>
        <w:t xml:space="preserve">–</w:t>
      </w:r>
      <w:r>
        <w:rPr>
          <w:rFonts w:ascii="Times New Roman" w:hAnsi="Times New Roman" w:eastAsia="Times New Roman" w:cs="Times New Roman"/>
          <w:sz w:val="22"/>
          <w:szCs w:val="22"/>
        </w:rPr>
        <w:tab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проверка наличия в составе заявки всех необходимых документов для рассмотрения экспертом по своему направлению, а также оценка правильности их оформления (в т.ч. в части наличия должных печатей, подписей формы заверения, языка и валюты заявки);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проверка отсутствия противоречий (в части стоимости заявки (цены Договора)) между Письмом 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подаче оферты и сведениями, указанными Участником в структурированных формах на ЭП;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оценка Коммерческого предложения Участника, а также (при наличии) прилагаемой к нему подтверждающей документации (включая спецификацию) на предмет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непревышения ценового предложения участника установленного размера НМЦ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ind w:left="1701" w:hanging="1701"/>
        <w:tabs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Фин</w:t>
      </w:r>
      <w:r>
        <w:rPr>
          <w:rFonts w:ascii="Times New Roman" w:hAnsi="Times New Roman" w:eastAsia="Times New Roman" w:cs="Times New Roman"/>
          <w:sz w:val="22"/>
          <w:szCs w:val="22"/>
        </w:rPr>
        <w:tab/>
        <w:t xml:space="preserve">–</w:t>
      </w:r>
      <w:r>
        <w:rPr>
          <w:rFonts w:ascii="Times New Roman" w:hAnsi="Times New Roman" w:eastAsia="Times New Roman" w:cs="Times New Roman"/>
          <w:sz w:val="22"/>
          <w:szCs w:val="22"/>
        </w:rPr>
        <w:tab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оценка независимой гарантии, в том числе правильность оформления рассматриваемых документов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т.ч. в части наличия должных печатей, подписей формы заверения, языка и валюты заявки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 </w:t>
      </w:r>
      <w:r>
        <w:rPr>
          <w:rFonts w:ascii="Times New Roman" w:hAnsi="Times New Roman" w:eastAsia="Times New Roman" w:cs="Times New Roman"/>
          <w:i/>
          <w:iCs/>
          <w:sz w:val="22"/>
          <w:szCs w:val="22"/>
        </w:rPr>
        <w:t xml:space="preserve">(финансовая экспертиза проводится по</w:t>
      </w:r>
      <w:r>
        <w:rPr>
          <w:rFonts w:ascii="Times New Roman" w:hAnsi="Times New Roman" w:eastAsia="Times New Roman" w:cs="Times New Roman"/>
          <w:i/>
          <w:iCs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i/>
          <w:iCs/>
          <w:sz w:val="22"/>
          <w:szCs w:val="22"/>
        </w:rPr>
        <w:t xml:space="preserve">инициативе эксперта по направлениям Орг, в случае наличия в заявке независимой гарантии)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случае указания по одному критерию отбора сразу нескольких направлений оценки заявок – экспертиза на соответствие указанному критерию осуществляется в пределах компетенции эксперта (в рамках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материалов (документов)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являющихся предметом его экспертизы)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rPr>
          <w:rFonts w:ascii="Times New Roman" w:hAnsi="Times New Roman" w:cs="Times New Roman"/>
          <w:sz w:val="22"/>
          <w:szCs w:val="22"/>
        </w:rPr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420" w:name="_Toc63"/>
      <w:r>
        <w:rPr>
          <w:rFonts w:ascii="Times New Roman" w:hAnsi="Times New Roman" w:eastAsia="Times New Roman" w:cs="Times New Roman"/>
          <w:sz w:val="22"/>
          <w:szCs w:val="22"/>
        </w:rPr>
      </w:r>
      <w:bookmarkStart w:id="333" w:name="Прил08_ПорядокОценки"/>
      <w:r>
        <w:rPr>
          <w:rFonts w:ascii="Times New Roman" w:hAnsi="Times New Roman" w:eastAsia="Times New Roman" w:cs="Times New Roman"/>
          <w:sz w:val="22"/>
          <w:szCs w:val="22"/>
        </w:rPr>
      </w:r>
      <w:bookmarkStart w:id="334" w:name="_Ref125361648"/>
      <w:r>
        <w:rPr>
          <w:rFonts w:ascii="Times New Roman" w:hAnsi="Times New Roman" w:eastAsia="Times New Roman" w:cs="Times New Roman"/>
          <w:sz w:val="22"/>
          <w:szCs w:val="22"/>
        </w:rPr>
      </w:r>
      <w:bookmarkStart w:id="335" w:name="_Ref125361951"/>
      <w:r>
        <w:rPr>
          <w:rFonts w:ascii="Times New Roman" w:hAnsi="Times New Roman" w:eastAsia="Times New Roman" w:cs="Times New Roman"/>
          <w:sz w:val="22"/>
          <w:szCs w:val="22"/>
        </w:rPr>
      </w:r>
      <w:bookmarkStart w:id="336" w:name="_Ref125366013"/>
      <w:r>
        <w:rPr>
          <w:rFonts w:ascii="Times New Roman" w:hAnsi="Times New Roman" w:eastAsia="Times New Roman" w:cs="Times New Roman"/>
          <w:sz w:val="22"/>
          <w:szCs w:val="22"/>
        </w:rPr>
      </w:r>
      <w:bookmarkStart w:id="337" w:name="_Ref125366280"/>
      <w:r>
        <w:rPr>
          <w:rFonts w:ascii="Times New Roman" w:hAnsi="Times New Roman" w:eastAsia="Times New Roman" w:cs="Times New Roman"/>
          <w:sz w:val="22"/>
          <w:szCs w:val="22"/>
        </w:rPr>
      </w:r>
      <w:bookmarkStart w:id="338" w:name="_Ref125366285"/>
      <w:r>
        <w:rPr>
          <w:rFonts w:ascii="Times New Roman" w:hAnsi="Times New Roman" w:eastAsia="Times New Roman" w:cs="Times New Roman"/>
          <w:sz w:val="22"/>
          <w:szCs w:val="22"/>
        </w:rPr>
      </w:r>
      <w:bookmarkStart w:id="339" w:name="_Ref125368140"/>
      <w:r>
        <w:rPr>
          <w:rFonts w:ascii="Times New Roman" w:hAnsi="Times New Roman" w:eastAsia="Times New Roman" w:cs="Times New Roman"/>
          <w:sz w:val="22"/>
          <w:szCs w:val="22"/>
        </w:rPr>
      </w:r>
      <w:bookmarkStart w:id="340" w:name="_Ref125368150"/>
      <w:r>
        <w:rPr>
          <w:rFonts w:ascii="Times New Roman" w:hAnsi="Times New Roman" w:eastAsia="Times New Roman" w:cs="Times New Roman"/>
          <w:sz w:val="22"/>
          <w:szCs w:val="22"/>
        </w:rPr>
      </w:r>
      <w:bookmarkStart w:id="341" w:name="_Ref125368165"/>
      <w:r>
        <w:rPr>
          <w:rFonts w:ascii="Times New Roman" w:hAnsi="Times New Roman" w:eastAsia="Times New Roman" w:cs="Times New Roman"/>
          <w:sz w:val="22"/>
          <w:szCs w:val="22"/>
        </w:rPr>
      </w:r>
      <w:bookmarkStart w:id="342" w:name="_Ref125368172"/>
      <w:r>
        <w:rPr>
          <w:rFonts w:ascii="Times New Roman" w:hAnsi="Times New Roman" w:eastAsia="Times New Roman" w:cs="Times New Roman"/>
          <w:sz w:val="22"/>
          <w:szCs w:val="22"/>
        </w:rPr>
      </w:r>
      <w:bookmarkStart w:id="343" w:name="_Ref125368184"/>
      <w:r>
        <w:rPr>
          <w:rFonts w:ascii="Times New Roman" w:hAnsi="Times New Roman" w:eastAsia="Times New Roman" w:cs="Times New Roman"/>
          <w:sz w:val="22"/>
          <w:szCs w:val="22"/>
        </w:rPr>
      </w:r>
      <w:bookmarkStart w:id="344" w:name="_Ref125368283"/>
      <w:r>
        <w:rPr>
          <w:rFonts w:ascii="Times New Roman" w:hAnsi="Times New Roman" w:eastAsia="Times New Roman" w:cs="Times New Roman"/>
          <w:sz w:val="22"/>
          <w:szCs w:val="22"/>
        </w:rPr>
      </w:r>
      <w:bookmarkStart w:id="345" w:name="_Ref125368291"/>
      <w:r>
        <w:rPr>
          <w:rFonts w:ascii="Times New Roman" w:hAnsi="Times New Roman" w:eastAsia="Times New Roman" w:cs="Times New Roman"/>
          <w:sz w:val="22"/>
          <w:szCs w:val="22"/>
        </w:rPr>
      </w:r>
      <w:bookmarkStart w:id="346" w:name="_Ref125368302"/>
      <w:r>
        <w:rPr>
          <w:rFonts w:ascii="Times New Roman" w:hAnsi="Times New Roman" w:eastAsia="Times New Roman" w:cs="Times New Roman"/>
          <w:sz w:val="22"/>
          <w:szCs w:val="22"/>
        </w:rPr>
      </w:r>
      <w:bookmarkStart w:id="347" w:name="_Ref125368313"/>
      <w:r>
        <w:rPr>
          <w:rFonts w:ascii="Times New Roman" w:hAnsi="Times New Roman" w:eastAsia="Times New Roman" w:cs="Times New Roman"/>
          <w:sz w:val="22"/>
          <w:szCs w:val="22"/>
        </w:rPr>
      </w:r>
      <w:bookmarkStart w:id="348" w:name="_Ref125368331"/>
      <w:r>
        <w:rPr>
          <w:rFonts w:ascii="Times New Roman" w:hAnsi="Times New Roman" w:eastAsia="Times New Roman" w:cs="Times New Roman"/>
          <w:sz w:val="22"/>
          <w:szCs w:val="22"/>
        </w:rPr>
      </w:r>
      <w:bookmarkStart w:id="349" w:name="_Ref125369021"/>
      <w:r>
        <w:rPr>
          <w:rFonts w:ascii="Times New Roman" w:hAnsi="Times New Roman" w:eastAsia="Times New Roman" w:cs="Times New Roman"/>
          <w:sz w:val="22"/>
          <w:szCs w:val="22"/>
        </w:rPr>
      </w:r>
      <w:bookmarkStart w:id="350" w:name="_Ref125369438"/>
      <w:r>
        <w:rPr>
          <w:rFonts w:ascii="Times New Roman" w:hAnsi="Times New Roman" w:eastAsia="Times New Roman" w:cs="Times New Roman"/>
          <w:sz w:val="22"/>
          <w:szCs w:val="22"/>
        </w:rPr>
      </w:r>
      <w:bookmarkEnd w:id="333"/>
      <w:r>
        <w:rPr>
          <w:rFonts w:ascii="Times New Roman" w:hAnsi="Times New Roman" w:eastAsia="Times New Roman" w:cs="Times New Roman"/>
          <w:sz w:val="22"/>
          <w:szCs w:val="22"/>
        </w:rPr>
        <w:t xml:space="preserve">Приложение №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8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Порядок и критерии оценки и сопоставления заявок</w:t>
      </w:r>
      <w:bookmarkEnd w:id="334"/>
      <w:r>
        <w:rPr>
          <w:rFonts w:ascii="Times New Roman" w:hAnsi="Times New Roman" w:eastAsia="Times New Roman" w:cs="Times New Roman"/>
          <w:sz w:val="22"/>
          <w:szCs w:val="22"/>
        </w:rPr>
      </w:r>
      <w:bookmarkEnd w:id="335"/>
      <w:r>
        <w:rPr>
          <w:rFonts w:ascii="Times New Roman" w:hAnsi="Times New Roman" w:eastAsia="Times New Roman" w:cs="Times New Roman"/>
          <w:sz w:val="22"/>
          <w:szCs w:val="22"/>
        </w:rPr>
      </w:r>
      <w:bookmarkEnd w:id="336"/>
      <w:r>
        <w:rPr>
          <w:rFonts w:ascii="Times New Roman" w:hAnsi="Times New Roman" w:eastAsia="Times New Roman" w:cs="Times New Roman"/>
          <w:sz w:val="22"/>
          <w:szCs w:val="22"/>
        </w:rPr>
      </w:r>
      <w:bookmarkEnd w:id="337"/>
      <w:r>
        <w:rPr>
          <w:rFonts w:ascii="Times New Roman" w:hAnsi="Times New Roman" w:eastAsia="Times New Roman" w:cs="Times New Roman"/>
          <w:sz w:val="22"/>
          <w:szCs w:val="22"/>
        </w:rPr>
      </w:r>
      <w:bookmarkEnd w:id="338"/>
      <w:r>
        <w:rPr>
          <w:rFonts w:ascii="Times New Roman" w:hAnsi="Times New Roman" w:eastAsia="Times New Roman" w:cs="Times New Roman"/>
          <w:sz w:val="22"/>
          <w:szCs w:val="22"/>
        </w:rPr>
      </w:r>
      <w:bookmarkEnd w:id="339"/>
      <w:r>
        <w:rPr>
          <w:rFonts w:ascii="Times New Roman" w:hAnsi="Times New Roman" w:eastAsia="Times New Roman" w:cs="Times New Roman"/>
          <w:sz w:val="22"/>
          <w:szCs w:val="22"/>
        </w:rPr>
      </w:r>
      <w:bookmarkEnd w:id="340"/>
      <w:r>
        <w:rPr>
          <w:rFonts w:ascii="Times New Roman" w:hAnsi="Times New Roman" w:eastAsia="Times New Roman" w:cs="Times New Roman"/>
          <w:sz w:val="22"/>
          <w:szCs w:val="22"/>
        </w:rPr>
      </w:r>
      <w:bookmarkEnd w:id="341"/>
      <w:r>
        <w:rPr>
          <w:rFonts w:ascii="Times New Roman" w:hAnsi="Times New Roman" w:eastAsia="Times New Roman" w:cs="Times New Roman"/>
          <w:sz w:val="22"/>
          <w:szCs w:val="22"/>
        </w:rPr>
      </w:r>
      <w:bookmarkEnd w:id="342"/>
      <w:r>
        <w:rPr>
          <w:rFonts w:ascii="Times New Roman" w:hAnsi="Times New Roman" w:eastAsia="Times New Roman" w:cs="Times New Roman"/>
          <w:sz w:val="22"/>
          <w:szCs w:val="22"/>
        </w:rPr>
      </w:r>
      <w:bookmarkEnd w:id="343"/>
      <w:r>
        <w:rPr>
          <w:rFonts w:ascii="Times New Roman" w:hAnsi="Times New Roman" w:eastAsia="Times New Roman" w:cs="Times New Roman"/>
          <w:sz w:val="22"/>
          <w:szCs w:val="22"/>
        </w:rPr>
      </w:r>
      <w:bookmarkEnd w:id="344"/>
      <w:r>
        <w:rPr>
          <w:rFonts w:ascii="Times New Roman" w:hAnsi="Times New Roman" w:eastAsia="Times New Roman" w:cs="Times New Roman"/>
          <w:sz w:val="22"/>
          <w:szCs w:val="22"/>
        </w:rPr>
      </w:r>
      <w:bookmarkEnd w:id="345"/>
      <w:r>
        <w:rPr>
          <w:rFonts w:ascii="Times New Roman" w:hAnsi="Times New Roman" w:eastAsia="Times New Roman" w:cs="Times New Roman"/>
          <w:sz w:val="22"/>
          <w:szCs w:val="22"/>
        </w:rPr>
      </w:r>
      <w:bookmarkEnd w:id="346"/>
      <w:r>
        <w:rPr>
          <w:rFonts w:ascii="Times New Roman" w:hAnsi="Times New Roman" w:eastAsia="Times New Roman" w:cs="Times New Roman"/>
          <w:sz w:val="22"/>
          <w:szCs w:val="22"/>
        </w:rPr>
      </w:r>
      <w:bookmarkEnd w:id="347"/>
      <w:r>
        <w:rPr>
          <w:rFonts w:ascii="Times New Roman" w:hAnsi="Times New Roman" w:eastAsia="Times New Roman" w:cs="Times New Roman"/>
          <w:sz w:val="22"/>
          <w:szCs w:val="22"/>
        </w:rPr>
      </w:r>
      <w:bookmarkEnd w:id="348"/>
      <w:r>
        <w:rPr>
          <w:rFonts w:ascii="Times New Roman" w:hAnsi="Times New Roman" w:eastAsia="Times New Roman" w:cs="Times New Roman"/>
          <w:sz w:val="22"/>
          <w:szCs w:val="22"/>
        </w:rPr>
      </w:r>
      <w:bookmarkEnd w:id="349"/>
      <w:r>
        <w:rPr>
          <w:rFonts w:ascii="Times New Roman" w:hAnsi="Times New Roman" w:eastAsia="Times New Roman" w:cs="Times New Roman"/>
          <w:sz w:val="22"/>
          <w:szCs w:val="22"/>
        </w:rPr>
      </w:r>
      <w:bookmarkEnd w:id="350"/>
      <w:r>
        <w:rPr>
          <w:rFonts w:ascii="Times New Roman" w:hAnsi="Times New Roman" w:eastAsia="Times New Roman" w:cs="Times New Roman"/>
          <w:sz w:val="22"/>
          <w:szCs w:val="22"/>
        </w:rPr>
      </w:r>
      <w:bookmarkEnd w:id="420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421" w:name="_Toc64"/>
      <w:r>
        <w:rPr>
          <w:rFonts w:ascii="Times New Roman" w:hAnsi="Times New Roman" w:eastAsia="Times New Roman" w:cs="Times New Roman"/>
          <w:sz w:val="22"/>
          <w:szCs w:val="22"/>
        </w:rPr>
        <w:t xml:space="preserve">Порядок и критерии оценки и сопоставления заявок</w:t>
      </w:r>
      <w:bookmarkEnd w:id="421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Расчет итоговой оценки предпочтительности каждой заявки, успешно прошедшей отборочную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стадию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: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рассмотрение вторых частей заявок и ценовых предложений,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осуществляется по следующим критериям оценки и в соответствии со следующим порядком оценки предпочтительности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 сопоставления заявок: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150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850"/>
        <w:gridCol w:w="1417"/>
        <w:gridCol w:w="1276"/>
        <w:gridCol w:w="1134"/>
        <w:gridCol w:w="2126"/>
        <w:gridCol w:w="7228"/>
      </w:tblGrid>
      <w:tr>
        <w:tblPrEx/>
        <w:trPr>
          <w:cantSplit/>
        </w:trPr>
        <w:tc>
          <w:tcPr>
            <w:shd w:val="clear" w:color="ffffff" w:fill="d5dce4"/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Номер критерия оценки в структуре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d5dce4"/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Направление оценки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2"/>
            <w:shd w:val="clear" w:color="ffffff" w:fill="d5dce4"/>
            <w:tcBorders>
              <w:bottom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Наименование критерия оценки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d5dce4"/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Значимость критерия оценки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d5dce4"/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Содержание частного критерия оценки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d5dce4"/>
            <w:tcW w:w="7228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Расчет оценки предпочтительности заявки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cantSplit/>
        </w:trPr>
        <w:tc>
          <w:tcPr>
            <w:shd w:val="clear" w:color="ffffff" w:fill="d5dce4"/>
            <w:tcW w:w="992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</w:p>
        </w:tc>
        <w:tc>
          <w:tcPr>
            <w:shd w:val="clear" w:color="ffffff" w:fill="d5dce4"/>
            <w:tcW w:w="850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</w:p>
        </w:tc>
        <w:tc>
          <w:tcPr>
            <w:shd w:val="clear" w:color="ffffff" w:fill="d5dce4"/>
            <w:tcW w:w="1417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критерий оценки первого уровня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d5dce4"/>
            <w:tcBorders>
              <w:bottom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критерий оценки второго уровня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d5dce4"/>
            <w:tcW w:w="1134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</w:p>
        </w:tc>
        <w:tc>
          <w:tcPr>
            <w:shd w:val="clear" w:color="ffffff" w:fill="d5dce4"/>
            <w:tcW w:w="2126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</w:p>
        </w:tc>
        <w:tc>
          <w:tcPr>
            <w:shd w:val="clear" w:color="ffffff" w:fill="d5dce4"/>
            <w:tcW w:w="7228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  <w:r>
              <w:rPr>
                <w:rFonts w:eastAsia="Calibri"/>
                <w:sz w:val="14"/>
                <w:szCs w:val="14"/>
              </w:rPr>
            </w:r>
          </w:p>
        </w:tc>
      </w:tr>
      <w:tr>
        <w:tblPrEx/>
        <w:trPr/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Цена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Цена договора (заявки)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</w:rPr>
              <w:t xml:space="preserve">отсутствует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90%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  <w:t xml:space="preserve">(В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vertAlign w:val="subscript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= 0,90)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Чем меньше цена заявки Участника, тем выше предпочтительность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</w:tcBorders>
            <w:tcW w:w="7228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keepLines/>
              <w:keepNext/>
              <w:spacing w:befor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Расчет оценки предпочтительности по частному критерию по методу «Математическая формула, задающая «функцию ценности»»: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numPr>
                <w:ilvl w:val="6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eastAsia="Cambria Math" w:cs="Cambria Math"/>
                        <w:sz w:val="22"/>
                        <w:szCs w:val="14"/>
                        <w:lang w:eastAsia="en-US"/>
                      </w:rPr>
                    </m:ctrlPr>
                  </m:sSubPr>
                  <m:e>
                    <m:r>
                      <w:rPr>
                        <w:rFonts w:hint="default" w:ascii="Cambria Math" w:hAnsi="Cambria Math" w:eastAsia="Cambria Math" w:cs="Cambria Math"/>
                        <w:sz w:val="22"/>
                        <w:szCs w:val="22"/>
                        <w:lang w:eastAsia="en-US"/>
                      </w:rPr>
                      <m:rPr/>
                      <m:t>Б</m:t>
                    </m:r>
                  </m:e>
                  <m:sub>
                    <m:r>
                      <w:rPr>
                        <w:rFonts w:hint="default" w:ascii="Cambria Math" w:hAnsi="Cambria Math" w:eastAsia="Cambria Math" w:cs="Cambria Math"/>
                        <w:sz w:val="22"/>
                        <w:szCs w:val="22"/>
                        <w:lang w:val="en-US" w:eastAsia="en-US"/>
                      </w:rPr>
                      <m:rPr/>
                      <m:t>1</m:t>
                    </m:r>
                  </m:sub>
                </m:sSub>
                <m:r>
                  <w:rPr>
                    <w:rFonts w:hint="default" w:ascii="Cambria Math" w:hAnsi="Cambria Math" w:eastAsia="Cambria Math" w:cs="Cambria Math"/>
                    <w:sz w:val="22"/>
                    <w:szCs w:val="22"/>
                    <w:lang w:eastAsia="en-US"/>
                  </w:rPr>
                  <m:rPr>
                    <m:sty m:val="p"/>
                  </m:rPr>
                  <m:t>=</m:t>
                </m:r>
                <m:f>
                  <m:fPr>
                    <m:ctrlPr>
                      <w:rPr>
                        <w:rFonts w:ascii="Cambria Math" w:hAnsi="Cambria Math" w:eastAsia="Cambria Math" w:cs="Cambria Math"/>
                        <w:sz w:val="22"/>
                        <w:szCs w:val="14"/>
                        <w:lang w:eastAsia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eastAsia="Cambria Math" w:cs="Cambria Math"/>
                            <w:sz w:val="22"/>
                            <w:szCs w:val="14"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hint="default" w:ascii="Cambria Math" w:hAnsi="Cambria Math" w:eastAsia="Cambria Math" w:cs="Cambria Math"/>
                            <w:sz w:val="22"/>
                            <w:szCs w:val="22"/>
                            <w:lang w:eastAsia="en-US"/>
                          </w:rPr>
                          <m:rPr/>
                          <m:t>ЦЕНА</m:t>
                        </m:r>
                      </m:e>
                      <m:sub>
                        <m:r>
                          <w:rPr>
                            <w:rFonts w:hint="default" w:ascii="Cambria Math" w:hAnsi="Cambria Math" w:eastAsia="Cambria Math" w:cs="Cambria Math"/>
                            <w:sz w:val="22"/>
                            <w:szCs w:val="22"/>
                            <w:lang w:val="en-US" w:eastAsia="en-US"/>
                          </w:rPr>
                          <m:rPr/>
                          <m:t>min</m:t>
                        </m:r>
                      </m:sub>
                    </m:sSub>
                  </m:num>
                  <m:den>
                    <m:r>
                      <w:rPr>
                        <w:rFonts w:hint="default" w:ascii="Cambria Math" w:hAnsi="Cambria Math" w:eastAsia="Cambria Math" w:cs="Cambria Math"/>
                        <w:sz w:val="22"/>
                        <w:szCs w:val="22"/>
                        <w:lang w:eastAsia="en-US"/>
                      </w:rPr>
                      <m:rPr>
                        <m:sty m:val="p"/>
                      </m:rPr>
                      <m:t>ЦЕНА</m:t>
                    </m:r>
                    <m:r>
                      <w:rPr>
                        <w:rFonts w:hint="default" w:ascii="Cambria Math" w:hAnsi="Cambria Math" w:eastAsia="Cambria Math" w:cs="Cambria Math"/>
                        <w:sz w:val="22"/>
                        <w:szCs w:val="22"/>
                        <w:lang w:val="en-US" w:eastAsia="en-US"/>
                      </w:rPr>
                      <m:rPr/>
                      <m:t>i</m:t>
                    </m:r>
                  </m:den>
                </m:f>
                <m:r>
                  <w:rPr>
                    <w:rFonts w:hint="default" w:ascii="Cambria Math" w:hAnsi="Cambria Math" w:eastAsia="Cambria Math" w:cs="Cambria Math"/>
                    <w:sz w:val="22"/>
                    <w:szCs w:val="22"/>
                    <w:lang w:eastAsia="en-US"/>
                  </w:rPr>
                  <m:rPr>
                    <m:sty m:val="p"/>
                  </m:rPr>
                  <m:t>×Ш,</m:t>
                </m:r>
              </m:oMath>
            </m:oMathPara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numPr>
                <w:ilvl w:val="6"/>
                <w:numId w:val="0"/>
              </w:numPr>
              <w:keepLines/>
              <w:keepNext/>
              <w:spacing w:befor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где: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numPr>
                <w:ilvl w:val="6"/>
                <w:numId w:val="0"/>
              </w:numPr>
              <w:jc w:val="both"/>
              <w:keepLines/>
              <w:keepNext/>
              <w:spacing w:before="0"/>
              <w:tabs>
                <w:tab w:val="left" w:pos="742" w:leader="none"/>
                <w:tab w:val="left" w:pos="11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vertAlign w:val="subscript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ab/>
              <w:t xml:space="preserve">рассчитанная оценка предпочтительности по данному частному критерию оценки в баллах;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numPr>
                <w:ilvl w:val="6"/>
                <w:numId w:val="0"/>
              </w:numPr>
              <w:jc w:val="both"/>
              <w:keepLines/>
              <w:keepNext/>
              <w:spacing w:before="0"/>
              <w:tabs>
                <w:tab w:val="left" w:pos="742" w:leader="none"/>
                <w:tab w:val="left" w:pos="11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m:oMath>
              <m:sSub>
                <m:sSubPr>
                  <m:ctrlPr>
                    <w:rPr>
                      <w:rFonts w:ascii="Cambria Math" w:hAnsi="Cambria Math" w:eastAsia="Cambria Math" w:cs="Cambria Math"/>
                      <w:sz w:val="22"/>
                      <w:szCs w:val="14"/>
                      <w:lang w:eastAsia="en-US"/>
                    </w:rPr>
                  </m:ctrlPr>
                </m:sSubPr>
                <m:e>
                  <m:r>
                    <w:rPr>
                      <w:rFonts w:hint="default" w:ascii="Cambria Math" w:hAnsi="Cambria Math" w:eastAsia="Cambria Math" w:cs="Cambria Math"/>
                      <w:sz w:val="22"/>
                      <w:szCs w:val="22"/>
                      <w:lang w:eastAsia="en-US"/>
                    </w:rPr>
                    <m:rPr/>
                    <m:t>ЦЕНА</m:t>
                  </m:r>
                </m:e>
                <m:sub>
                  <m:r>
                    <w:rPr>
                      <w:rFonts w:hint="default" w:ascii="Cambria Math" w:hAnsi="Cambria Math" w:eastAsia="Cambria Math" w:cs="Cambria Math"/>
                      <w:sz w:val="22"/>
                      <w:szCs w:val="22"/>
                      <w:lang w:val="en-US" w:eastAsia="en-US"/>
                    </w:rPr>
                    <m:rPr/>
                    <m:t>i</m:t>
                  </m:r>
                </m:sub>
              </m:sSub>
            </m:oMath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en-US"/>
              </w:rPr>
              <w:t xml:space="preserve"> – цена договора (заявки), указанная в </w:t>
            </w: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-той заявке (в Коммерческом п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редложении) по установленной в Д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окументации о закупке форме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№3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допущенного участника, руб. без учета НДС;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numPr>
                <w:ilvl w:val="6"/>
                <w:numId w:val="0"/>
              </w:numPr>
              <w:jc w:val="both"/>
              <w:keepLines/>
              <w:keepNext/>
              <w:spacing w:before="0"/>
              <w:tabs>
                <w:tab w:val="left" w:pos="742" w:leader="none"/>
                <w:tab w:val="left" w:pos="11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m:oMath>
              <m:sSub>
                <m:sSubPr>
                  <m:ctrlPr>
                    <w:rPr>
                      <w:rFonts w:ascii="Cambria Math" w:hAnsi="Cambria Math" w:eastAsia="Cambria Math" w:cs="Cambria Math"/>
                      <w:sz w:val="22"/>
                      <w:szCs w:val="14"/>
                      <w:lang w:eastAsia="en-US"/>
                    </w:rPr>
                  </m:ctrlPr>
                </m:sSubPr>
                <m:e>
                  <m:r>
                    <w:rPr>
                      <w:rFonts w:hint="default" w:ascii="Cambria Math" w:hAnsi="Cambria Math" w:eastAsia="Cambria Math" w:cs="Cambria Math"/>
                      <w:sz w:val="22"/>
                      <w:szCs w:val="22"/>
                      <w:lang w:eastAsia="en-US"/>
                    </w:rPr>
                    <m:rPr/>
                    <m:t>ЦЕНА</m:t>
                  </m:r>
                </m:e>
                <m:sub>
                  <m:r>
                    <w:rPr>
                      <w:rFonts w:hint="default" w:ascii="Cambria Math" w:hAnsi="Cambria Math" w:eastAsia="Cambria Math" w:cs="Cambria Math"/>
                      <w:sz w:val="22"/>
                      <w:szCs w:val="22"/>
                      <w:lang w:val="en-US" w:eastAsia="en-US"/>
                    </w:rPr>
                    <m:rPr/>
                    <m:t>min</m:t>
                  </m:r>
                </m:sub>
              </m:sSub>
            </m:oMath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ab/>
              <w:t xml:space="preserve">минимальная цена договора (заявки), среди всех допущенных заявок участников, руб. без учета НДС;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numPr>
                <w:ilvl w:val="6"/>
                <w:numId w:val="0"/>
              </w:numPr>
              <w:jc w:val="both"/>
              <w:keepLines/>
              <w:keepNext/>
              <w:spacing w:before="0"/>
              <w:tabs>
                <w:tab w:val="left" w:pos="0" w:leader="none"/>
                <w:tab w:val="left" w:pos="34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Ш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ab/>
              <w:t xml:space="preserve">максимально возможный балл (максимальная возможная оценка предпочтительности) по шкале оценок.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(Ш=5).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numPr>
                <w:ilvl w:val="7"/>
                <w:numId w:val="0"/>
              </w:numPr>
              <w:jc w:val="both"/>
              <w:spacing w:before="96" w:after="9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en-US"/>
              </w:rPr>
              <w:t xml:space="preserve">Оценка предпочтительности заявок осуществляется в едином базисе сопоставления ценовых (стоимостных) предложений,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en-US"/>
              </w:rPr>
              <w:t xml:space="preserve">установленном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en-US"/>
              </w:rPr>
              <w:t xml:space="preserve"> в документации о закупке: без учета НДС.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numPr>
                <w:ilvl w:val="7"/>
                <w:numId w:val="0"/>
              </w:numPr>
              <w:jc w:val="both"/>
              <w:keepLines/>
              <w:keepNext/>
              <w:spacing w:before="0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en-US"/>
              </w:rPr>
              <w:t xml:space="preserve">В случае если участник действует по упрощенной системе налогообложения, к таким участникам так же применяется базис сопоставления ценовых (стоимостных) предложений - без учета НДС.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  <w:p>
            <w:pPr>
              <w:pStyle w:val="1160"/>
              <w:jc w:val="left"/>
              <w:spacing w:before="40" w:after="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Шкала оценок от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0 до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5 баллов.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2.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ТЕХ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Квалификация (предпочтительность) участника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</w:rPr>
              <w:t xml:space="preserve">отсутствует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5%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  <w:t xml:space="preserve">(В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vertAlign w:val="subscript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= 0,05)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Чем больше опыт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 выполнения профилю закупки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работ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2"/>
                <w:szCs w:val="22"/>
              </w:rPr>
              <w:t xml:space="preserve"> </w:t>
            </w:r>
            <w:r>
              <w:rPr>
                <w:rStyle w:val="1183"/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:highlight w:val="white"/>
                <w:u w:val="none"/>
              </w:rPr>
              <w:t xml:space="preserve">(</w:t>
            </w:r>
            <w:r>
              <w:rPr>
                <w:rStyle w:val="1183"/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:highlight w:val="white"/>
                <w:u w:val="none"/>
              </w:rPr>
              <w:t xml:space="preserve"> по прокладке, соединению, установке,  пусконаладке электрооборудования и кабельных систем</w:t>
            </w:r>
            <w:r>
              <w:rPr>
                <w:rStyle w:val="1183"/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:highlight w:val="white"/>
                <w:u w:val="none"/>
              </w:rPr>
              <w:t xml:space="preserve">)</w:t>
            </w:r>
            <w:r>
              <w:rPr>
                <w:rStyle w:val="1183"/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за 5 лет предшествующих дате подачи заявки, тем выше предпочтительность.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</w:tcBorders>
            <w:tcW w:w="7228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contextualSpacing w:val="0"/>
              <w:jc w:val="both"/>
              <w:keepLines/>
              <w:keepNext/>
              <w:spacing w:before="0"/>
              <w:widowControl w:val="off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en-US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en-US"/>
              </w:rPr>
              <w:t xml:space="preserve">ля целей проведения оценки по данному критерию Участник должен предоставить в составе 2-ой части заявки (в Справке об опыте Участника по установленной в Документации о закупке форме) сведения о ранее исполненных договорах, подтверждающих наличие совокупног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en-US"/>
              </w:rPr>
              <w:t xml:space="preserve">о опыта (в рамках одного или нескольких договоров) выполнения работ за последние 5 лет, предшествующих дате подачи заявки Участником, с учетом правоприемственности, с приложением следующих подтверждающих документов: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r>
          </w:p>
          <w:p>
            <w:pPr>
              <w:numPr>
                <w:ilvl w:val="7"/>
                <w:numId w:val="32"/>
              </w:numPr>
              <w:contextualSpacing w:val="0"/>
              <w:jc w:val="both"/>
              <w:keepLines/>
              <w:keepNext/>
              <w:spacing w:before="40" w:after="40"/>
              <w:widowControl w:val="off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 xml:space="preserve">- </w:t>
            </w:r>
            <w: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 xml:space="preserve">копии договоров и актов выполненных работ/оказанных услуг по этим договорам, подписанных с обеих сторон;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numPr>
                <w:ilvl w:val="7"/>
                <w:numId w:val="32"/>
              </w:numPr>
              <w:contextualSpacing w:val="0"/>
              <w:jc w:val="both"/>
              <w:keepLines/>
              <w:keepNext/>
              <w:spacing w:before="40" w:after="40"/>
              <w:widowControl w:val="off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 xml:space="preserve">- копии иных документов, предусмотренных требованиями договора, подтверждающих факт его исполнения, с указанием стоимости и наименования выполненных работ/услуг, подписанных с обеих сторон.</w:t>
            </w:r>
            <w: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r>
          </w:p>
          <w:p>
            <w:pPr>
              <w:numPr>
                <w:ilvl w:val="7"/>
                <w:numId w:val="32"/>
              </w:numPr>
              <w:contextualSpacing w:val="0"/>
              <w:jc w:val="both"/>
              <w:keepLines/>
              <w:keepNext/>
              <w:spacing w:before="40" w:after="40"/>
              <w:widowControl w:val="off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К рассмотрению не принимаются подтверждающие документы, не указанные в «Справке об опыте Участника», а также сведения, не позволяющие явным (однозначным) образом определить опыт Участника.</w:t>
            </w:r>
            <w: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r>
          </w:p>
          <w:p>
            <w:pPr>
              <w:numPr>
                <w:ilvl w:val="7"/>
                <w:numId w:val="32"/>
              </w:numPr>
              <w:contextualSpacing w:val="0"/>
              <w:jc w:val="both"/>
              <w:keepLines/>
              <w:keepNext/>
              <w:spacing w:before="40" w:after="40"/>
              <w:widowControl w:val="off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Порядок осуществления оценки (значение оцениваемого параметра), в зависимости от предоставленных в i-ой заявке сведений о наличии у Участника совокупного опыта за последние 5 лет, на общую сумму:</w:t>
            </w:r>
            <w: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r>
          </w:p>
          <w:p>
            <w:pPr>
              <w:numPr>
                <w:ilvl w:val="7"/>
                <w:numId w:val="32"/>
              </w:numPr>
              <w:contextualSpacing w:val="0"/>
              <w:jc w:val="both"/>
              <w:keepLines/>
              <w:keepNext/>
              <w:spacing w:before="40" w:after="40"/>
              <w:widowControl w:val="off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r>
          </w:p>
          <w:tbl>
            <w:tblPr>
              <w:tblW w:w="708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38"/>
              <w:gridCol w:w="6342"/>
            </w:tblGrid>
            <w:tr>
              <w:tblPrEx/>
              <w:trPr>
                <w:cantSplit/>
                <w:trHeight w:val="296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738" w:type="dxa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0"/>
                      <w:szCs w:val="20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en-US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vertAlign w:val="subscript"/>
                      <w:lang w:eastAsia="en-US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en-US"/>
                    </w:rPr>
                    <w:t xml:space="preserve"> = 0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W w:w="6342" w:type="dxa"/>
                  <w:textDirection w:val="lrTb"/>
                  <w:noWrap w:val="false"/>
                </w:tcPr>
                <w:p>
                  <w:pPr>
                    <w:contextualSpacing w:val="0"/>
                    <w:ind w:left="0" w:right="0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0"/>
                      <w:szCs w:val="20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 Опыт отсутствует/ Опыт не подтвержден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;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  <w:trHeight w:val="406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738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contextualSpacing w:val="0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0"/>
                      <w:szCs w:val="20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en-US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vertAlign w:val="subscript"/>
                      <w:lang w:eastAsia="en-US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en-US"/>
                    </w:rPr>
                    <w:t xml:space="preserve"> = 1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W w:w="6342" w:type="dxa"/>
                  <w:textDirection w:val="lrTb"/>
                  <w:noWrap w:val="false"/>
                </w:tcPr>
                <w:p>
                  <w:pPr>
                    <w:numPr>
                      <w:ilvl w:val="4"/>
                      <w:numId w:val="0"/>
                    </w:numPr>
                    <w:contextualSpacing w:val="0"/>
                    <w:ind w:left="71" w:right="137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0"/>
                      <w:szCs w:val="20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более 0 % НМЦ «без учета НДС», но менее 20% НМЦ «без учета НДС» 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(включительно);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  <w:trHeight w:val="406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738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contextualSpacing w:val="0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0"/>
                      <w:szCs w:val="20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en-US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vertAlign w:val="subscript"/>
                      <w:lang w:eastAsia="en-US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en-US"/>
                    </w:rPr>
                    <w:t xml:space="preserve"> = 2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W w:w="6342" w:type="dxa"/>
                  <w:textDirection w:val="lrTb"/>
                  <w:noWrap w:val="false"/>
                </w:tcPr>
                <w:p>
                  <w:pPr>
                    <w:numPr>
                      <w:ilvl w:val="4"/>
                      <w:numId w:val="0"/>
                    </w:numPr>
                    <w:contextualSpacing w:val="0"/>
                    <w:ind w:left="71" w:right="137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0"/>
                      <w:szCs w:val="20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более 20 % НМЦ «без учета НДС», но менее 40 % НМЦ «без учета НДС» 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(включительно);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  <w:trHeight w:val="406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738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contextualSpacing w:val="0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0"/>
                      <w:szCs w:val="20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en-US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vertAlign w:val="subscript"/>
                      <w:lang w:eastAsia="en-US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en-US"/>
                    </w:rPr>
                    <w:t xml:space="preserve"> = 3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W w:w="6342" w:type="dxa"/>
                  <w:textDirection w:val="lrTb"/>
                  <w:noWrap w:val="false"/>
                </w:tcPr>
                <w:p>
                  <w:pPr>
                    <w:numPr>
                      <w:ilvl w:val="4"/>
                      <w:numId w:val="0"/>
                    </w:numPr>
                    <w:contextualSpacing w:val="0"/>
                    <w:ind w:left="71" w:right="137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0"/>
                      <w:szCs w:val="20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более 40 % НМЦ «без учета НДС», но менее 60 % НМЦ «без учета НДС» 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(включительно);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  <w:trHeight w:val="406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738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contextualSpacing w:val="0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0"/>
                      <w:szCs w:val="20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en-US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vertAlign w:val="subscript"/>
                      <w:lang w:eastAsia="en-US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en-US"/>
                    </w:rPr>
                    <w:t xml:space="preserve"> = 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W w:w="6342" w:type="dxa"/>
                  <w:textDirection w:val="lrTb"/>
                  <w:noWrap w:val="false"/>
                </w:tcPr>
                <w:p>
                  <w:pPr>
                    <w:numPr>
                      <w:ilvl w:val="4"/>
                      <w:numId w:val="0"/>
                    </w:numPr>
                    <w:contextualSpacing w:val="0"/>
                    <w:ind w:left="71" w:right="137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0"/>
                      <w:szCs w:val="20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более 60 % НМЦ «без учета НДС», но менее 80 % НМЦ «без учета НДС» 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(включительно);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cantSplit/>
                <w:trHeight w:val="309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738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contextualSpacing w:val="0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0"/>
                      <w:szCs w:val="20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en-US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vertAlign w:val="subscript"/>
                      <w:lang w:eastAsia="en-US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en-US"/>
                    </w:rPr>
                    <w:t xml:space="preserve"> = 5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6342" w:type="dxa"/>
                  <w:textDirection w:val="lrTb"/>
                  <w:noWrap w:val="false"/>
                </w:tcPr>
                <w:p>
                  <w:pPr>
                    <w:numPr>
                      <w:ilvl w:val="4"/>
                      <w:numId w:val="0"/>
                    </w:numPr>
                    <w:contextualSpacing w:val="0"/>
                    <w:ind w:left="71" w:right="137"/>
                    <w:jc w:val="left"/>
                    <w:keepLines/>
                    <w:keepNext/>
                    <w:spacing w:before="0"/>
                    <w:widowControl w:val="off"/>
                    <w:rPr>
                      <w:rFonts w:ascii="Times New Roman" w:hAnsi="Times New Roman" w:cs="Times New Roman"/>
                      <w:sz w:val="20"/>
                      <w:szCs w:val="20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выше 80 % НМЦ «без учета НДС».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1210"/>
              <w:contextualSpacing w:val="0"/>
              <w:jc w:val="left"/>
              <w:keepLines/>
              <w:keepNext/>
              <w:spacing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yellow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r>
          </w:p>
          <w:p>
            <w:pPr>
              <w:contextualSpacing w:val="0"/>
              <w:jc w:val="left"/>
              <w:keepLines/>
              <w:keepNext/>
              <w:spacing w:before="0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где: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contextualSpacing w:val="0"/>
              <w:jc w:val="left"/>
              <w:keepLines/>
              <w:keepNext/>
              <w:spacing w:before="0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НМЦ–начальная (максимальная) цена договора, установленная в документации о закупке;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contextualSpacing w:val="0"/>
              <w:jc w:val="left"/>
              <w:keepLines/>
              <w:keepNext/>
              <w:spacing w:before="0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vertAlign w:val="subscript"/>
              </w:rPr>
              <w:t xml:space="preserve">2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– рассчитанная оценка предпочтительности по данному критерию оценки в баллах.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numPr>
                <w:ilvl w:val="6"/>
                <w:numId w:val="0"/>
              </w:numPr>
              <w:contextualSpacing w:val="0"/>
              <w:jc w:val="left"/>
              <w:keepLines/>
              <w:keepNext/>
              <w:spacing w:before="0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Оцениваемый критерий -  сумма исполненных обязательств за последние 5 лет, предшествующих дате подачи заявки.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numPr>
                <w:ilvl w:val="7"/>
                <w:numId w:val="0"/>
              </w:numPr>
              <w:contextualSpacing w:val="0"/>
              <w:jc w:val="left"/>
              <w:keepLines/>
              <w:keepNext/>
              <w:spacing w:before="0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en-US"/>
              </w:rPr>
              <w:t xml:space="preserve">Опыт, несоответствующий установленным в док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en-US"/>
              </w:rPr>
              <w:t xml:space="preserve">ументации о закупке требованиям, не оценивается.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numPr>
                <w:ilvl w:val="7"/>
                <w:numId w:val="0"/>
              </w:numPr>
              <w:contextualSpacing w:val="0"/>
              <w:jc w:val="left"/>
              <w:keepLines/>
              <w:keepNext/>
              <w:spacing w:before="0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  <w:t xml:space="preserve">Шкала оценок от 0 до 5 баллов.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W w:w="992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3.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W w:w="850" w:type="dxa"/>
            <w:vMerge w:val="restart"/>
            <w:textDirection w:val="lrTb"/>
            <w:noWrap w:val="false"/>
          </w:tcPr>
          <w:p>
            <w:pPr>
              <w:pStyle w:val="1210"/>
              <w:numPr>
                <w:ilvl w:val="7"/>
                <w:numId w:val="33"/>
              </w:numPr>
              <w:ind w:left="0" w:firstLine="0"/>
              <w:jc w:val="center"/>
              <w:spacing w:before="40" w:after="4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Неценовой критерий оценки первого уровня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/ ОРГ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pStyle w:val="1210"/>
              <w:numPr>
                <w:ilvl w:val="7"/>
                <w:numId w:val="34"/>
              </w:numPr>
              <w:ind w:left="0" w:firstLine="0"/>
              <w:jc w:val="center"/>
              <w:spacing w:before="40" w:after="4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Финансовое состояние (устойчивость) Участника</w:t>
            </w:r>
            <w:bookmarkEnd w:id="0"/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lang w:eastAsia="ru-RU"/>
              </w:rPr>
              <w:t xml:space="preserve">отсутствует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1210"/>
              <w:numPr>
                <w:ilvl w:val="7"/>
                <w:numId w:val="35"/>
              </w:numPr>
              <w:ind w:left="0" w:firstLine="0"/>
              <w:jc w:val="center"/>
              <w:spacing w:before="40" w:after="4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5%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br/>
              <w:t xml:space="preserve">(В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vertAlign w:val="subscript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= 0,05)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numPr>
                <w:ilvl w:val="7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1210"/>
              <w:numPr>
                <w:ilvl w:val="7"/>
                <w:numId w:val="36"/>
              </w:numPr>
              <w:ind w:left="0" w:firstLine="0"/>
              <w:jc w:val="center"/>
              <w:spacing w:before="40" w:after="4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Чем выше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результат оценки финансового состояния (устойчивости)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частника, тем выше предпочтительность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</w:tcBorders>
            <w:tcW w:w="7228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Расчет оценки предпочтительности по частному критерию по методу «Оценка предпочтительности посредством однозначной числовой шкалы измерений»: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numPr>
                <w:ilvl w:val="7"/>
                <w:numId w:val="0"/>
              </w:numPr>
              <w:jc w:val="both"/>
              <w:spacing w:before="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Порядок осуществления оценки (значение оцениваемого параметра), в зависимости от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полученного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Участником (с </w:t>
            </w: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lang w:val="en-US" w:eastAsia="ru-RU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ой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заяв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кой) значения расчетного балла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интегрального показателя финансового состояния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 установленной соответствующей характеристи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ки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его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финансового состояния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кризисное / неустойчивое / удовлетворительное)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по результатам проведенной в рамках аккредитации оценки его финансового состояния (устойчивости), при этом: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numPr>
                <w:ilvl w:val="0"/>
                <w:numId w:val="37"/>
              </w:numPr>
              <w:ind w:left="346" w:hanging="284"/>
              <w:jc w:val="both"/>
              <w:spacing w:before="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порядок проведения оценки финансового состояния (устойчивости)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Участника</w:t>
            </w:r>
            <w:r>
              <w:rPr>
                <w:rStyle w:val="1168"/>
                <w:rFonts w:ascii="Times New Roman" w:hAnsi="Times New Roman" w:eastAsia="Times New Roman" w:cs="Times New Roman"/>
                <w:sz w:val="22"/>
                <w:szCs w:val="22"/>
              </w:rPr>
              <w:footnoteReference w:id="14"/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установлен Приложением 5 к Положению об аккредитации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numPr>
                <w:ilvl w:val="0"/>
                <w:numId w:val="37"/>
              </w:numPr>
              <w:ind w:left="346" w:hanging="284"/>
              <w:jc w:val="both"/>
              <w:spacing w:before="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исходными данными для расчета интегрального показателя финансового состояния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Участника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являются сведения, представленные в опубликованной в государственном информационном ресурсе бухгалтерской (финансовой) отчетности организаций (</w:t>
            </w:r>
            <w:hyperlink r:id="rId24" w:tooltip="https://bo.nalog.ru" w:history="1">
              <w:r>
                <w:rPr>
                  <w:rStyle w:val="1170"/>
                  <w:rFonts w:ascii="Times New Roman" w:hAnsi="Times New Roman" w:eastAsia="Times New Roman" w:cs="Times New Roman"/>
                  <w:sz w:val="22"/>
                  <w:szCs w:val="22"/>
                </w:rPr>
                <w:t xml:space="preserve">https://bo.nalog.ru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 за предыдущий отчетный период (год).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left="346"/>
              <w:jc w:val="both"/>
              <w:spacing w:before="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сли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Участник в соответствии с законодательством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РФ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не размещает све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дения о своей бухгалтерской (финансовой) отчетности в упомянутом государственном информационном ресурсе – оценка его финансового состояния производится на основании электронной копии бухгалтерской отчетности, представленной в составе Заявки на аккредитацию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(или отдельно в составе заявки на участие в закупке, если ранее при прохождении аккредитации не были представлены);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numPr>
                <w:ilvl w:val="0"/>
                <w:numId w:val="37"/>
              </w:numPr>
              <w:ind w:left="346" w:hanging="284"/>
              <w:jc w:val="both"/>
              <w:spacing w:before="120" w:after="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оценки предпочтительности по частному критерию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осуществляется в соответствии со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ш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кал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ой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tbl>
            <w:tblPr>
              <w:tblW w:w="6837" w:type="dxa"/>
              <w:tblBorders>
                <w:insideH w:val="single" w:color="000000" w:sz="4" w:space="0"/>
                <w:insideV w:val="single" w:color="000000" w:sz="4" w:space="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"/>
              <w:gridCol w:w="5953"/>
            </w:tblGrid>
            <w:tr>
              <w:tblPrEx/>
              <w:trPr>
                <w:cantSplit/>
              </w:trPr>
              <w:tc>
                <w:tcPr>
                  <w:tcBorders>
                    <w:bottom w:val="single" w:color="000000" w:sz="4" w:space="0"/>
                    <w:right w:val="single" w:color="000000" w:sz="4" w:space="0"/>
                  </w:tcBorders>
                  <w:tcW w:w="884" w:type="dxa"/>
                  <w:textDirection w:val="lrTb"/>
                  <w:noWrap w:val="false"/>
                </w:tcPr>
                <w:p>
                  <w:pPr>
                    <w:pStyle w:val="1210"/>
                    <w:numPr>
                      <w:ilvl w:val="7"/>
                      <w:numId w:val="38"/>
                    </w:numPr>
                    <w:ind w:left="0" w:firstLine="0"/>
                    <w:jc w:val="center"/>
                    <w:spacing w:before="40" w:after="4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  <w:lang w:eastAsia="ru-RU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  <w:vertAlign w:val="subscript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  <w:lang w:eastAsia="ru-RU"/>
                    </w:rPr>
                    <w:t xml:space="preserve"> = 0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left w:val="single" w:color="000000" w:sz="4" w:space="0"/>
                    <w:bottom w:val="single" w:color="000000" w:sz="4" w:space="0"/>
                  </w:tcBorders>
                  <w:tcW w:w="5953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 xml:space="preserve">Результат оценки финансового состояния (устойчивости): 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 xml:space="preserve">менее 0,45 балл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 xml:space="preserve">а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 xml:space="preserve">– 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 xml:space="preserve">Кризисное финансовое состояние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 xml:space="preserve">;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  <w:p>
                  <w:pPr>
                    <w:numPr>
                      <w:ilvl w:val="7"/>
                      <w:numId w:val="0"/>
                    </w:numPr>
                    <w:rPr>
                      <w:rFonts w:ascii="Times New Roman" w:hAnsi="Times New Roman" w:cs="Times New Roman"/>
                      <w:i/>
                      <w:i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i/>
                      <w:iCs/>
                      <w:sz w:val="22"/>
                      <w:szCs w:val="22"/>
                    </w:rPr>
                    <w:t xml:space="preserve">или</w:t>
                  </w:r>
                  <w:r>
                    <w:rPr>
                      <w:rFonts w:ascii="Times New Roman" w:hAnsi="Times New Roman" w:cs="Times New Roman"/>
                      <w:i/>
                      <w:iCs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i/>
                      <w:iCs/>
                      <w:sz w:val="22"/>
                      <w:szCs w:val="22"/>
                    </w:rPr>
                  </w:r>
                </w:p>
                <w:p>
                  <w:pPr>
                    <w:numPr>
                      <w:ilvl w:val="7"/>
                      <w:numId w:val="0"/>
                    </w:numPr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 xml:space="preserve">в случае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 xml:space="preserve"> отсутстви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 xml:space="preserve">я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 xml:space="preserve"> исходных данных для оценки финансового состояния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 xml:space="preserve"> Участника, в том числе если он является: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  <w:p>
                  <w:pPr>
                    <w:pStyle w:val="1207"/>
                    <w:numPr>
                      <w:ilvl w:val="4"/>
                      <w:numId w:val="38"/>
                    </w:numPr>
                    <w:ind w:left="209" w:hanging="209"/>
                    <w:jc w:val="left"/>
                    <w:spacing w:before="40" w:after="4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 xml:space="preserve">вновь созданным юридическим лицом, которое на дату подачи заявки на участие в закупке в соответствии с законодательством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 xml:space="preserve"> РФ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 xml:space="preserve"> не предоставил в налоговые органы бухгалтерскую (финансовую) отчетность за завершенный финансовый год;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  <w:p>
                  <w:pPr>
                    <w:pStyle w:val="1207"/>
                    <w:numPr>
                      <w:ilvl w:val="4"/>
                      <w:numId w:val="38"/>
                    </w:numPr>
                    <w:ind w:left="209" w:hanging="209"/>
                    <w:jc w:val="left"/>
                    <w:spacing w:before="40" w:after="4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 xml:space="preserve">физическ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 xml:space="preserve">им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 xml:space="preserve"> лиц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 xml:space="preserve">ом (индивидуальным предпринимателем 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 xml:space="preserve">и/или 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 xml:space="preserve">применяющи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 xml:space="preserve">м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 xml:space="preserve"> специальный налоговый режим «Налог на профессиональный доход»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 xml:space="preserve">), 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 xml:space="preserve">не ведущ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 xml:space="preserve">им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 xml:space="preserve"> бухгалтерскую (финансовую) отчетность;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884" w:type="dxa"/>
                  <w:textDirection w:val="lrTb"/>
                  <w:noWrap w:val="false"/>
                </w:tcPr>
                <w:p>
                  <w:pPr>
                    <w:pStyle w:val="1210"/>
                    <w:numPr>
                      <w:ilvl w:val="7"/>
                      <w:numId w:val="38"/>
                    </w:numPr>
                    <w:ind w:left="0" w:firstLine="0"/>
                    <w:jc w:val="center"/>
                    <w:spacing w:before="40" w:after="4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  <w:lang w:eastAsia="ru-RU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  <w:vertAlign w:val="subscript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  <w:lang w:eastAsia="ru-RU"/>
                    </w:rPr>
                    <w:t xml:space="preserve"> = 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  <w:tcW w:w="5953" w:type="dxa"/>
                  <w:textDirection w:val="lrTb"/>
                  <w:noWrap w:val="false"/>
                </w:tcPr>
                <w:p>
                  <w:pPr>
                    <w:pStyle w:val="1207"/>
                    <w:numPr>
                      <w:ilvl w:val="0"/>
                      <w:numId w:val="0"/>
                    </w:numPr>
                    <w:jc w:val="left"/>
                    <w:spacing w:before="40" w:after="4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 xml:space="preserve">Результат оценки финансового состояния (устойчивости): 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 xml:space="preserve">от 0,45 балл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 xml:space="preserve">а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 xml:space="preserve"> включительно до 0,90 балл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 xml:space="preserve">а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 xml:space="preserve"> включительно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 xml:space="preserve"> –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 xml:space="preserve"> Неустойчивое финансовое состояние;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884" w:type="dxa"/>
                  <w:textDirection w:val="lrTb"/>
                  <w:noWrap w:val="false"/>
                </w:tcPr>
                <w:p>
                  <w:pPr>
                    <w:pStyle w:val="1210"/>
                    <w:numPr>
                      <w:ilvl w:val="7"/>
                      <w:numId w:val="38"/>
                    </w:numPr>
                    <w:ind w:left="0" w:firstLine="0"/>
                    <w:jc w:val="center"/>
                    <w:spacing w:before="40" w:after="4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  <w:lang w:eastAsia="ru-RU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  <w:vertAlign w:val="subscript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  <w:lang w:eastAsia="ru-RU"/>
                    </w:rPr>
                    <w:t xml:space="preserve"> = 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  <w:lang w:eastAsia="ru-RU"/>
                    </w:rPr>
                    <w:t xml:space="preserve">5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  <w:tcW w:w="5953" w:type="dxa"/>
                  <w:textDirection w:val="lrTb"/>
                  <w:noWrap w:val="false"/>
                </w:tcPr>
                <w:p>
                  <w:pPr>
                    <w:pStyle w:val="1207"/>
                    <w:numPr>
                      <w:ilvl w:val="0"/>
                      <w:numId w:val="0"/>
                    </w:numPr>
                    <w:jc w:val="left"/>
                    <w:spacing w:before="40" w:after="4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 xml:space="preserve">Результат оценки финансового состояния (устойчивости): б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 xml:space="preserve">олее 0,90 балл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 xml:space="preserve">а –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 xml:space="preserve"> Удовлетворительное финансовое состояние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 xml:space="preserve">.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</w:tr>
          </w:tbl>
          <w:p>
            <w:pPr>
              <w:pStyle w:val="1209"/>
              <w:numPr>
                <w:ilvl w:val="6"/>
                <w:numId w:val="38"/>
              </w:numPr>
              <w:ind w:left="0" w:firstLine="0"/>
              <w:jc w:val="left"/>
              <w:spacing w:before="96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где: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209"/>
              <w:numPr>
                <w:ilvl w:val="6"/>
                <w:numId w:val="38"/>
              </w:numPr>
              <w:ind w:left="349" w:hanging="349"/>
              <w:jc w:val="left"/>
              <w:spacing w:before="0" w:line="240" w:lineRule="auto"/>
              <w:tabs>
                <w:tab w:val="left" w:pos="742" w:leader="none"/>
                <w:tab w:val="left" w:pos="11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vertAlign w:val="subscript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ab/>
              <w:t xml:space="preserve">рассчитанная оценка предпочтительности по данному частному критерию оценки в баллах.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211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 случае участия в закупке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енерального подрядчика – балл по данному критерию присваивается исходя из оценки финансового состояния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енерального подрядчика без учета субподрядчиков.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210"/>
              <w:numPr>
                <w:ilvl w:val="7"/>
                <w:numId w:val="38"/>
              </w:numPr>
              <w:ind w:left="0" w:firstLine="0"/>
              <w:jc w:val="left"/>
              <w:spacing w:before="96" w:after="96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lang w:eastAsia="ru-RU"/>
              </w:rPr>
              <w:t xml:space="preserve">Шкала оценок от 0 до 5 баллов.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</w:tr>
      <w:tr>
        <w:tblPrEx/>
        <w:trPr>
          <w:cantSplit/>
          <w:trHeight w:val="1312"/>
        </w:trPr>
        <w:tc>
          <w:tcPr>
            <w:gridSpan w:val="4"/>
            <w:shd w:val="clear" w:color="ffffff" w:fill="ffffff"/>
            <w:tcW w:w="4535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right"/>
              <w:keepLines/>
              <w:keepNext/>
              <w:spacing w:befor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numPr>
                <w:ilvl w:val="7"/>
                <w:numId w:val="0"/>
              </w:numPr>
              <w:jc w:val="right"/>
              <w:keepLines/>
              <w:keepNext/>
              <w:spacing w:befor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numPr>
                <w:ilvl w:val="7"/>
                <w:numId w:val="0"/>
              </w:numPr>
              <w:jc w:val="right"/>
              <w:keepLines/>
              <w:keepNext/>
              <w:spacing w:befor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Итоговая оценка предпочтительности заявки: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3"/>
            <w:shd w:val="clear" w:color="ffffff" w:fill="ffffff"/>
            <w:tcW w:w="10488" w:type="dxa"/>
            <w:textDirection w:val="lrTb"/>
            <w:noWrap w:val="false"/>
          </w:tcPr>
          <w:p>
            <w:pPr>
              <w:numPr>
                <w:ilvl w:val="6"/>
                <w:numId w:val="0"/>
              </w:numPr>
              <w:keepLines/>
              <w:keepNext/>
              <w:spacing w:befor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en-US"/>
              </w:rPr>
              <w:t xml:space="preserve">Расчет итоговой оценки предпочтительности </w:t>
            </w: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lang w:val="en-US" w:eastAsia="en-US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en-US"/>
              </w:rPr>
              <w:t xml:space="preserve">-ой заявки: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numPr>
                <w:ilvl w:val="6"/>
                <w:numId w:val="0"/>
              </w:numPr>
              <w:jc w:val="center"/>
              <w:keepLines/>
              <w:keepNext/>
              <w:spacing w:befor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eastAsia="Cambria Math" w:cs="Cambria Math"/>
                        <w:sz w:val="22"/>
                        <w:szCs w:val="14"/>
                        <w:lang w:eastAsia="en-US"/>
                      </w:rPr>
                    </m:ctrlPr>
                  </m:sSubPr>
                  <m:e>
                    <m:r>
                      <w:rPr>
                        <w:rFonts w:hint="default" w:ascii="Cambria Math" w:hAnsi="Cambria Math" w:eastAsia="Cambria Math" w:cs="Cambria Math"/>
                        <w:sz w:val="22"/>
                        <w:szCs w:val="22"/>
                        <w:lang w:eastAsia="en-US"/>
                      </w:rPr>
                      <m:rPr>
                        <m:sty m:val="p"/>
                      </m:rPr>
                      <m:t>Б</m:t>
                    </m:r>
                  </m:e>
                  <m:sub>
                    <m:r>
                      <w:rPr>
                        <w:rFonts w:hint="default" w:ascii="Cambria Math" w:hAnsi="Cambria Math" w:eastAsia="Cambria Math" w:cs="Cambria Math"/>
                        <w:sz w:val="22"/>
                        <w:szCs w:val="22"/>
                        <w:lang w:eastAsia="en-US"/>
                      </w:rPr>
                      <m:rPr>
                        <m:sty m:val="p"/>
                      </m:rPr>
                      <m:t>ИТОГ</m:t>
                    </m:r>
                  </m:sub>
                </m:sSub>
                <m:r>
                  <w:rPr>
                    <w:rFonts w:hint="default" w:ascii="Cambria Math" w:hAnsi="Cambria Math" w:eastAsia="Cambria Math" w:cs="Cambria Math"/>
                    <w:sz w:val="22"/>
                    <w:szCs w:val="22"/>
                    <w:lang w:eastAsia="en-US"/>
                  </w:rPr>
                  <m:rPr>
                    <m:sty m:val="p"/>
                  </m:rPr>
                  <m:t>=</m:t>
                </m:r>
                <m:nary>
                  <m:naryPr>
                    <m:chr m:val="∑"/>
                    <m:grow m:val="off"/>
                    <m:limLoc m:val="undOvr"/>
                    <m:subHide m:val="on"/>
                    <m:supHide m:val="on"/>
                    <m:ctrlPr>
                      <w:rPr>
                        <w:rFonts w:ascii="Cambria Math" w:hAnsi="Cambria Math" w:eastAsia="Cambria Math" w:cs="Cambria Math"/>
                        <w:sz w:val="22"/>
                        <w:szCs w:val="14"/>
                        <w:lang w:eastAsia="en-US"/>
                      </w:rPr>
                    </m:ctrlPr>
                  </m:naryPr>
                  <m:sub/>
                  <m:sup/>
                  <m:e>
                    <m:d>
                      <m:dPr>
                        <m:ctrlPr>
                          <w:rPr>
                            <w:rFonts w:ascii="Cambria Math" w:hAnsi="Cambria Math" w:eastAsia="Cambria Math" w:cs="Cambria Math"/>
                            <w:sz w:val="22"/>
                            <w:szCs w:val="14"/>
                            <w:lang w:eastAsia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eastAsia="Cambria Math" w:cs="Cambria Math"/>
                                <w:sz w:val="22"/>
                                <w:szCs w:val="14"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hint="default" w:ascii="Cambria Math" w:hAnsi="Cambria Math" w:eastAsia="Cambria Math" w:cs="Cambria Math"/>
                                <w:sz w:val="22"/>
                                <w:szCs w:val="22"/>
                                <w:lang w:eastAsia="en-US"/>
                              </w:rPr>
                              <m:rPr>
                                <m:sty m:val="p"/>
                              </m:rPr>
                              <m:t>Б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 w:eastAsia="Cambria Math" w:cs="Cambria Math"/>
                                    <w:sz w:val="22"/>
                                    <w:szCs w:val="14"/>
                                    <w:lang w:eastAsia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hint="default" w:ascii="Cambria Math" w:hAnsi="Cambria Math" w:eastAsia="Cambria Math" w:cs="Cambria Math"/>
                                    <w:sz w:val="22"/>
                                    <w:szCs w:val="22"/>
                                    <w:lang w:eastAsia="en-US"/>
                                  </w:rPr>
                                  <m:rPr>
                                    <m:sty m:val="p"/>
                                  </m:rPr>
                                  <m:t>1 уровень</m:t>
                                </m:r>
                              </m:e>
                              <m:sub>
                                <m:r>
                                  <w:rPr>
                                    <w:rFonts w:hint="default" w:ascii="Cambria Math" w:hAnsi="Cambria Math" w:eastAsia="Cambria Math" w:cs="Cambria Math"/>
                                    <w:sz w:val="22"/>
                                    <w:szCs w:val="22"/>
                                    <w:lang w:val="en-US" w:eastAsia="en-US"/>
                                  </w:rPr>
                                  <m:rPr>
                                    <m:sty m:val="p"/>
                                  </m:rPr>
                                  <m:t>k</m:t>
                                </m:r>
                              </m:sub>
                            </m:sSub>
                          </m:sub>
                        </m:sSub>
                        <m:r>
                          <w:rPr>
                            <w:rFonts w:hint="default" w:ascii="Cambria Math" w:hAnsi="Cambria Math" w:eastAsia="Cambria Math" w:cs="Cambria Math"/>
                            <w:sz w:val="22"/>
                            <w:szCs w:val="22"/>
                            <w:lang w:eastAsia="en-US"/>
                          </w:rPr>
                          <m:rPr>
                            <m:sty m:val="p"/>
                          </m:rPr>
                          <m:t>×</m:t>
                        </m:r>
                        <m:sSub>
                          <m:sSubPr>
                            <m:ctrlPr>
                              <w:rPr>
                                <w:rFonts w:ascii="Cambria Math" w:hAnsi="Cambria Math" w:eastAsia="Cambria Math" w:cs="Cambria Math"/>
                                <w:sz w:val="22"/>
                                <w:szCs w:val="14"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hint="default" w:ascii="Cambria Math" w:hAnsi="Cambria Math" w:eastAsia="Cambria Math" w:cs="Cambria Math"/>
                                <w:sz w:val="22"/>
                                <w:szCs w:val="22"/>
                                <w:lang w:eastAsia="en-US"/>
                              </w:rPr>
                              <m:rPr>
                                <m:sty m:val="p"/>
                              </m:rPr>
                              <m:t>В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 w:eastAsia="Cambria Math" w:cs="Cambria Math"/>
                                    <w:sz w:val="22"/>
                                    <w:szCs w:val="14"/>
                                    <w:lang w:eastAsia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hint="default" w:ascii="Cambria Math" w:hAnsi="Cambria Math" w:eastAsia="Cambria Math" w:cs="Cambria Math"/>
                                    <w:sz w:val="22"/>
                                    <w:szCs w:val="22"/>
                                    <w:lang w:eastAsia="en-US"/>
                                  </w:rPr>
                                  <m:rPr>
                                    <m:sty m:val="p"/>
                                  </m:rPr>
                                  <m:t>1 уровнь</m:t>
                                </m:r>
                              </m:e>
                              <m:sub>
                                <m:r>
                                  <w:rPr>
                                    <w:rFonts w:hint="default" w:ascii="Cambria Math" w:hAnsi="Cambria Math" w:eastAsia="Cambria Math" w:cs="Cambria Math"/>
                                    <w:sz w:val="22"/>
                                    <w:szCs w:val="22"/>
                                    <w:lang w:val="en-US" w:eastAsia="en-US"/>
                                  </w:rPr>
                                  <m:rPr>
                                    <m:sty m:val="p"/>
                                  </m:rPr>
                                  <m:t>k</m:t>
                                </m:r>
                              </m:sub>
                            </m:sSub>
                          </m:sub>
                        </m:sSub>
                      </m:e>
                    </m:d>
                  </m:e>
                </m:nary>
              </m:oMath>
            </m:oMathPara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numPr>
                <w:ilvl w:val="6"/>
                <w:numId w:val="0"/>
              </w:numPr>
              <w:keepLines/>
              <w:keepNext/>
              <w:spacing w:befor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en-US"/>
              </w:rPr>
              <w:t xml:space="preserve">где: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numPr>
                <w:ilvl w:val="6"/>
                <w:numId w:val="0"/>
              </w:numPr>
              <w:keepLines/>
              <w:keepNext/>
              <w:spacing w:before="0"/>
              <w:tabs>
                <w:tab w:val="left" w:pos="742" w:leader="none"/>
                <w:tab w:val="left" w:pos="97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en-US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vertAlign w:val="subscript"/>
                <w:lang w:eastAsia="en-US"/>
              </w:rPr>
              <w:t xml:space="preserve">ИТОГ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en-US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en-US"/>
              </w:rPr>
              <w:tab/>
              <w:t xml:space="preserve">рассчитанная итоговая оценка предпочтительности в баллах;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numPr>
                <w:ilvl w:val="6"/>
                <w:numId w:val="0"/>
              </w:numPr>
              <w:keepLines/>
              <w:keepNext/>
              <w:spacing w:before="0"/>
              <w:tabs>
                <w:tab w:val="left" w:pos="742" w:leader="none"/>
                <w:tab w:val="left" w:pos="97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en-US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vertAlign w:val="subscript"/>
                <w:lang w:eastAsia="en-US"/>
              </w:rPr>
              <w:t xml:space="preserve">1 уровень k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en-US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en-US"/>
              </w:rPr>
              <w:tab/>
              <w:t xml:space="preserve">оценка предпочтительности по k-тому критерию оценки первого уровня в баллах;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numPr>
                <w:ilvl w:val="6"/>
                <w:numId w:val="0"/>
              </w:numPr>
              <w:keepLines/>
              <w:keepNext/>
              <w:spacing w:before="0"/>
              <w:tabs>
                <w:tab w:val="left" w:pos="742" w:leader="none"/>
                <w:tab w:val="left" w:pos="11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2"/>
                <w:szCs w:val="22"/>
                <w:lang w:eastAsia="en-US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-4"/>
                <w:sz w:val="22"/>
                <w:szCs w:val="22"/>
                <w:vertAlign w:val="subscript"/>
                <w:lang w:eastAsia="en-US"/>
              </w:rPr>
              <w:t xml:space="preserve">1 уровень k</w:t>
            </w:r>
            <w:r>
              <w:rPr>
                <w:rFonts w:ascii="Times New Roman" w:hAnsi="Times New Roman" w:eastAsia="Times New Roman" w:cs="Times New Roman"/>
                <w:spacing w:val="-4"/>
                <w:sz w:val="22"/>
                <w:szCs w:val="22"/>
                <w:lang w:eastAsia="en-US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pacing w:val="-4"/>
                <w:sz w:val="22"/>
                <w:szCs w:val="22"/>
                <w:lang w:eastAsia="en-US"/>
              </w:rPr>
              <w:tab/>
              <w:t xml:space="preserve">значимость k-ого критерия оценки первого уровня, выраженная в диапазоне от 1% до 100% (или от 0,01 до 1,00) – вес k-ого критерия оценки первого уровня.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1156"/>
        <w:numPr>
          <w:ilvl w:val="0"/>
          <w:numId w:val="0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numPr>
          <w:ilvl w:val="0"/>
          <w:numId w:val="0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Итоговая оц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енка предпочтительности заявки формируется путем взвешенного суммирования (суммирования в баллах, умноженных на соответствующий коэффициент значимости критерия), производимого в рамках критериев одного уровня. Общая значимость всех критериев одного уровня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на одной ветке иерархии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составляет 100%. Вычисление оценки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предпочтительности по каждому критерию и итоговой оценки предпочтительности заявки производится с точностью до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десятитысячных балла.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установленных случаях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оценка и сопоставление заявок производится с учетом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предоставления национального режима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соответствии 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порядк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предусмотренном подразделом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REF _Ref132816300 \r \h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4.14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Заявки участников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из числа успешно прошедших отборочную стадию рассмотрения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вторых частей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 ценовых предложений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ранжируются по количеству набранных баллов (от наибольшего к наименьшему), присвоенных заявкам 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результатам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оценки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rPr>
          <w:rFonts w:ascii="Times New Roman" w:hAnsi="Times New Roman" w:cs="Times New Roman"/>
          <w:sz w:val="22"/>
          <w:szCs w:val="22"/>
        </w:rPr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422" w:name="_Toc65"/>
      <w:r>
        <w:rPr>
          <w:rFonts w:ascii="Times New Roman" w:hAnsi="Times New Roman" w:eastAsia="Times New Roman" w:cs="Times New Roman"/>
          <w:sz w:val="22"/>
          <w:szCs w:val="22"/>
        </w:rPr>
      </w:r>
      <w:bookmarkStart w:id="353" w:name="Прил09_ОбоснованиеНМЦ"/>
      <w:r>
        <w:rPr>
          <w:rFonts w:ascii="Times New Roman" w:hAnsi="Times New Roman" w:eastAsia="Times New Roman" w:cs="Times New Roman"/>
          <w:sz w:val="22"/>
          <w:szCs w:val="22"/>
        </w:rPr>
      </w:r>
      <w:bookmarkStart w:id="354" w:name="_Ref125360420"/>
      <w:r>
        <w:rPr>
          <w:rFonts w:ascii="Times New Roman" w:hAnsi="Times New Roman" w:eastAsia="Times New Roman" w:cs="Times New Roman"/>
          <w:sz w:val="22"/>
          <w:szCs w:val="22"/>
        </w:rPr>
      </w:r>
      <w:bookmarkEnd w:id="353"/>
      <w:r>
        <w:rPr>
          <w:rFonts w:ascii="Times New Roman" w:hAnsi="Times New Roman" w:eastAsia="Times New Roman" w:cs="Times New Roman"/>
          <w:sz w:val="22"/>
          <w:szCs w:val="22"/>
        </w:rPr>
        <w:t xml:space="preserve">Приложение №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9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Обоснование НМЦ</w:t>
      </w:r>
      <w:bookmarkEnd w:id="354"/>
      <w:r>
        <w:rPr>
          <w:rFonts w:ascii="Times New Roman" w:hAnsi="Times New Roman" w:eastAsia="Times New Roman" w:cs="Times New Roman"/>
          <w:sz w:val="22"/>
          <w:szCs w:val="22"/>
        </w:rPr>
      </w:r>
      <w:bookmarkEnd w:id="422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423" w:name="_Toc66"/>
      <w:r>
        <w:rPr>
          <w:rFonts w:ascii="Times New Roman" w:hAnsi="Times New Roman" w:eastAsia="Times New Roman" w:cs="Times New Roman"/>
          <w:sz w:val="22"/>
          <w:szCs w:val="22"/>
        </w:rPr>
        <w:t xml:space="preserve">Пояснения к Обоснованию НМЦ</w:t>
      </w:r>
      <w:bookmarkEnd w:id="423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Обоснование НМЦ приведено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отдельном файле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предоставляется отдельным документом в составе Документации о закупке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являющимся Приложением №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9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к Документации о закупке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424" w:name="_Toc67"/>
      <w:r>
        <w:rPr>
          <w:rFonts w:ascii="Times New Roman" w:hAnsi="Times New Roman" w:eastAsia="Times New Roman" w:cs="Times New Roman"/>
          <w:sz w:val="22"/>
          <w:szCs w:val="22"/>
        </w:rPr>
      </w:r>
      <w:bookmarkStart w:id="357" w:name="Прил10_ФормаЗаявкиНаАккредитацию"/>
      <w:r>
        <w:rPr>
          <w:rFonts w:ascii="Times New Roman" w:hAnsi="Times New Roman" w:eastAsia="Times New Roman" w:cs="Times New Roman"/>
          <w:sz w:val="22"/>
          <w:szCs w:val="22"/>
        </w:rPr>
      </w:r>
      <w:bookmarkEnd w:id="357"/>
      <w:r>
        <w:rPr>
          <w:rFonts w:ascii="Times New Roman" w:hAnsi="Times New Roman" w:eastAsia="Times New Roman" w:cs="Times New Roman"/>
          <w:sz w:val="22"/>
          <w:szCs w:val="22"/>
        </w:rPr>
        <w:t xml:space="preserve">Приложение № 1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0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– Форма Заявки на аккредитацию</w:t>
      </w:r>
      <w:bookmarkEnd w:id="424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bookmarkStart w:id="425" w:name="_Toc68"/>
      <w:r>
        <w:rPr>
          <w:rFonts w:ascii="Times New Roman" w:hAnsi="Times New Roman" w:eastAsia="Times New Roman" w:cs="Times New Roman"/>
          <w:sz w:val="22"/>
          <w:szCs w:val="22"/>
        </w:rPr>
        <w:t xml:space="preserve">Пояснения к форме Заявки на аккредитацию</w:t>
      </w:r>
      <w:bookmarkEnd w:id="425"/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5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Форма Заявки на аккредитацию приведена в отдельном файле (предоставляется отдельным документом в составе Документации о закупке), являющимся Приложением №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 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0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к Документации о закупке.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6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62025" cy="638175"/>
                <wp:effectExtent l="0" t="0" r="0" b="0"/>
                <wp:docPr id="4" name="_x0000_i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5">
                          <a:extLst>
                            <a:ext uri="{96DAC541-7B7A-43D3-8B79-37D633B846F1}">
                              <asvg:svgBlip xmlns:asvg="http://schemas.microsoft.com/office/drawing/2016/SVG/main" r:embed="rId26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6202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75.75pt;height:50.25pt;mso-wrap-distance-left:0.00pt;mso-wrap-distance-top:0.00pt;mso-wrap-distance-right:0.00pt;mso-wrap-distance-bottom:0.00pt;" stroked="f">
                <v:path textboxrect="0,0,0,0"/>
                <v:imagedata r:id="rId25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sectPr>
      <w:footnotePr/>
      <w:endnotePr/>
      <w:type w:val="nextPage"/>
      <w:pgSz w:w="11906" w:h="16838" w:orient="portrait"/>
      <w:pgMar w:top="851" w:right="850" w:bottom="851" w:left="1134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40803050406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613905730"/>
      <w:docPartObj>
        <w:docPartGallery w:val="Page Numbers (Bottom of Page)"/>
        <w:docPartUnique w:val="true"/>
      </w:docPartObj>
      <w:rPr/>
    </w:sdtPr>
    <w:sdtContent>
      <w:p>
        <w:pPr>
          <w:pStyle w:val="1163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169"/>
        <w:rPr>
          <w:sz w:val="20"/>
          <w:szCs w:val="20"/>
        </w:rPr>
      </w:pPr>
      <w:r>
        <w:tab/>
      </w:r>
      <w:r>
        <w:rPr>
          <w:sz w:val="20"/>
          <w:szCs w:val="20"/>
        </w:rPr>
      </w:r>
      <w:r>
        <w:rPr>
          <w:sz w:val="20"/>
          <w:szCs w:val="20"/>
        </w:rPr>
      </w:r>
    </w:p>
  </w:footnote>
  <w:footnote w:id="3">
    <w:p>
      <w:pPr>
        <w:pStyle w:val="1169"/>
        <w:rPr>
          <w:sz w:val="20"/>
          <w:szCs w:val="20"/>
        </w:rPr>
      </w:pPr>
      <w:r>
        <w:rPr>
          <w:rStyle w:val="1168"/>
        </w:rPr>
        <w:footnoteRef/>
      </w:r>
      <w:r>
        <w:tab/>
      </w:r>
      <w:r>
        <w:rPr>
          <w:sz w:val="20"/>
          <w:szCs w:val="20"/>
        </w:rPr>
        <w:t xml:space="preserve">При этом отклонение заявки за </w:t>
      </w:r>
      <w:r>
        <w:rPr>
          <w:sz w:val="20"/>
          <w:szCs w:val="20"/>
        </w:rPr>
        <w:t xml:space="preserve">отсутствие в ней документов, требующихся исключительно для</w:t>
      </w:r>
      <w:r>
        <w:rPr>
          <w:sz w:val="20"/>
          <w:szCs w:val="20"/>
        </w:rPr>
        <w:t xml:space="preserve"> </w:t>
      </w:r>
      <w:r>
        <w:rPr>
          <w:sz w:val="20"/>
          <w:szCs w:val="20"/>
        </w:rPr>
        <w:t xml:space="preserve">целей оценки и сопоставления заявок (подраздел 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_Ref125362626 \w \h </w:instrText>
      </w:r>
      <w:r>
        <w:rPr>
          <w:sz w:val="20"/>
          <w:szCs w:val="20"/>
        </w:rPr>
        <w:instrText xml:space="preserve"> \* MERGEFORMAT </w:instrText>
      </w:r>
      <w:r>
        <w:rPr>
          <w:sz w:val="20"/>
          <w:szCs w:val="20"/>
        </w:rPr>
        <w:fldChar w:fldCharType="separate"/>
      </w:r>
      <w:r>
        <w:rPr>
          <w:sz w:val="20"/>
          <w:szCs w:val="20"/>
        </w:rPr>
        <w:t xml:space="preserve">4.13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), не допускается.</w:t>
      </w:r>
      <w:r>
        <w:rPr>
          <w:sz w:val="20"/>
          <w:szCs w:val="20"/>
        </w:rPr>
      </w:r>
      <w:r>
        <w:rPr>
          <w:sz w:val="20"/>
          <w:szCs w:val="20"/>
        </w:rPr>
      </w:r>
    </w:p>
  </w:footnote>
  <w:footnote w:id="4">
    <w:p>
      <w:pPr>
        <w:pStyle w:val="1169"/>
        <w:rPr>
          <w:sz w:val="20"/>
          <w:szCs w:val="20"/>
        </w:rPr>
      </w:pPr>
      <w:r>
        <w:rPr>
          <w:rStyle w:val="1168"/>
        </w:rPr>
        <w:footnoteRef/>
      </w:r>
      <w:r>
        <w:tab/>
      </w:r>
      <w:r>
        <w:rPr>
          <w:sz w:val="20"/>
          <w:szCs w:val="20"/>
        </w:rPr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>
        <w:rPr>
          <w:sz w:val="20"/>
          <w:szCs w:val="20"/>
        </w:rPr>
      </w:r>
      <w:r>
        <w:rPr>
          <w:sz w:val="20"/>
          <w:szCs w:val="20"/>
        </w:rPr>
      </w:r>
    </w:p>
  </w:footnote>
  <w:footnote w:id="5">
    <w:p>
      <w:pPr>
        <w:pStyle w:val="1169"/>
        <w:rPr>
          <w:sz w:val="20"/>
          <w:szCs w:val="20"/>
        </w:rPr>
      </w:pPr>
      <w:r>
        <w:rPr>
          <w:rStyle w:val="1168"/>
        </w:rPr>
        <w:footnoteRef/>
      </w:r>
      <w:r>
        <w:tab/>
      </w:r>
      <w:r>
        <w:rPr>
          <w:sz w:val="20"/>
          <w:szCs w:val="20"/>
        </w:rPr>
        <w:t xml:space="preserve">При этом отклонение заявки за </w:t>
      </w:r>
      <w:r>
        <w:rPr>
          <w:sz w:val="20"/>
          <w:szCs w:val="20"/>
        </w:rPr>
        <w:t xml:space="preserve">отсутствие в ней документов, требующихся исключительно для</w:t>
      </w:r>
      <w:r>
        <w:rPr>
          <w:sz w:val="20"/>
          <w:szCs w:val="20"/>
        </w:rPr>
        <w:t xml:space="preserve"> </w:t>
      </w:r>
      <w:r>
        <w:rPr>
          <w:sz w:val="20"/>
          <w:szCs w:val="20"/>
        </w:rPr>
        <w:t xml:space="preserve">целей оценки и сопоставления заявок (подраздел 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_Ref125362626 \w \h </w:instrText>
      </w:r>
      <w:r>
        <w:rPr>
          <w:sz w:val="20"/>
          <w:szCs w:val="20"/>
        </w:rPr>
        <w:instrText xml:space="preserve"> \* MERGEFORMAT </w:instrText>
      </w:r>
      <w:r>
        <w:rPr>
          <w:sz w:val="20"/>
          <w:szCs w:val="20"/>
        </w:rPr>
        <w:fldChar w:fldCharType="separate"/>
      </w:r>
      <w:r>
        <w:rPr>
          <w:sz w:val="20"/>
          <w:szCs w:val="20"/>
        </w:rPr>
        <w:t xml:space="preserve">4.13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), не допускается.</w:t>
      </w:r>
      <w:r>
        <w:rPr>
          <w:sz w:val="20"/>
          <w:szCs w:val="20"/>
        </w:rPr>
      </w:r>
      <w:r>
        <w:rPr>
          <w:sz w:val="20"/>
          <w:szCs w:val="20"/>
        </w:rPr>
      </w:r>
    </w:p>
  </w:footnote>
  <w:footnote w:id="6">
    <w:p>
      <w:pPr>
        <w:pStyle w:val="1169"/>
        <w:rPr>
          <w:sz w:val="20"/>
          <w:szCs w:val="20"/>
        </w:rPr>
      </w:pPr>
      <w:r>
        <w:rPr>
          <w:rStyle w:val="1168"/>
          <w:sz w:val="20"/>
          <w:szCs w:val="20"/>
        </w:rPr>
        <w:footnoteRef/>
      </w:r>
      <w:r>
        <w:rPr>
          <w:sz w:val="20"/>
          <w:szCs w:val="20"/>
        </w:rPr>
        <w:tab/>
        <w:t xml:space="preserve">С учетом пункта 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_Ref125365558 \w \h </w:instrText>
      </w:r>
      <w:r>
        <w:rPr>
          <w:sz w:val="20"/>
          <w:szCs w:val="20"/>
        </w:rPr>
        <w:fldChar w:fldCharType="separate"/>
      </w:r>
      <w:r>
        <w:rPr>
          <w:sz w:val="20"/>
          <w:szCs w:val="20"/>
        </w:rPr>
        <w:t xml:space="preserve">4.14.5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</w:footnote>
  <w:footnote w:id="7">
    <w:p>
      <w:pPr>
        <w:pStyle w:val="1169"/>
      </w:pPr>
      <w:r>
        <w:rPr>
          <w:rStyle w:val="1168"/>
          <w:sz w:val="20"/>
          <w:szCs w:val="20"/>
        </w:rPr>
        <w:footnoteRef/>
      </w:r>
      <w:r>
        <w:rPr>
          <w:sz w:val="20"/>
          <w:szCs w:val="20"/>
        </w:rP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8">
    <w:p>
      <w:pPr>
        <w:pStyle w:val="1166"/>
        <w:ind w:left="567" w:hanging="567"/>
        <w:jc w:val="both"/>
        <w:rPr>
          <w:sz w:val="20"/>
          <w:szCs w:val="20"/>
        </w:rPr>
      </w:pPr>
      <w:r>
        <w:rPr>
          <w:rStyle w:val="1168"/>
        </w:rPr>
        <w:footnoteRef/>
      </w:r>
      <w:r>
        <w:rPr>
          <w:sz w:val="22"/>
        </w:rPr>
        <w:tab/>
      </w:r>
      <w:r>
        <w:rPr>
          <w:sz w:val="20"/>
          <w:szCs w:val="20"/>
        </w:rPr>
        <w:t xml:space="preserve">В отношении предоставляемой Участником (в целях обеспечения проведения оценки его финансового состояния (устойчивости) в соответствии с Положением об аккредитации) бухгалтерской (финансовой) отчетности самостоятельные исправления арифметических ошибок не</w:t>
      </w:r>
      <w:r>
        <w:rPr>
          <w:sz w:val="20"/>
          <w:szCs w:val="20"/>
        </w:rPr>
        <w:t xml:space="preserve"> </w:t>
      </w:r>
      <w:r>
        <w:rPr>
          <w:sz w:val="20"/>
          <w:szCs w:val="20"/>
        </w:rPr>
        <w:t xml:space="preserve">допускается (все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изменения в отчетность должны вноситься в установленном законодательством порядке).</w:t>
      </w:r>
      <w:r>
        <w:rPr>
          <w:sz w:val="20"/>
          <w:szCs w:val="20"/>
        </w:rPr>
      </w:r>
      <w:r>
        <w:rPr>
          <w:sz w:val="20"/>
          <w:szCs w:val="20"/>
        </w:rPr>
      </w:r>
    </w:p>
  </w:footnote>
  <w:footnote w:id="9">
    <w:p>
      <w:pPr>
        <w:pStyle w:val="1169"/>
        <w:rPr>
          <w:sz w:val="20"/>
          <w:szCs w:val="20"/>
        </w:rPr>
      </w:pPr>
      <w:r>
        <w:rPr>
          <w:rStyle w:val="1168"/>
        </w:rPr>
        <w:footnoteRef/>
      </w:r>
      <w:r>
        <w:tab/>
      </w:r>
      <w:r>
        <w:rPr>
          <w:sz w:val="20"/>
          <w:szCs w:val="20"/>
        </w:rPr>
        <w:t xml:space="preserve">Увеличение на 15% (пятнадцать процентов) итоговой стоимости заявки (цены Договора) в случае подачи им предложения о размере платы, подлежащей внесению за заключение Договора.</w:t>
      </w:r>
      <w:r>
        <w:rPr>
          <w:sz w:val="20"/>
          <w:szCs w:val="20"/>
        </w:rPr>
      </w:r>
      <w:r>
        <w:rPr>
          <w:sz w:val="20"/>
          <w:szCs w:val="20"/>
        </w:rPr>
      </w:r>
    </w:p>
  </w:footnote>
  <w:footnote w:id="10">
    <w:p>
      <w:pPr>
        <w:pStyle w:val="1169"/>
        <w:rPr>
          <w:sz w:val="20"/>
          <w:szCs w:val="20"/>
        </w:rPr>
      </w:pPr>
      <w:r>
        <w:rPr>
          <w:rStyle w:val="1168"/>
        </w:rPr>
        <w:footnoteRef/>
      </w:r>
      <w:r>
        <w:tab/>
      </w:r>
      <w:r>
        <w:rPr>
          <w:sz w:val="20"/>
          <w:szCs w:val="20"/>
        </w:rPr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>
        <w:rPr>
          <w:sz w:val="20"/>
          <w:szCs w:val="20"/>
        </w:rPr>
      </w:r>
      <w:r>
        <w:rPr>
          <w:sz w:val="20"/>
          <w:szCs w:val="20"/>
        </w:rPr>
      </w:r>
    </w:p>
  </w:footnote>
  <w:footnote w:id="11">
    <w:p>
      <w:pPr>
        <w:pStyle w:val="1169"/>
      </w:pPr>
      <w:r>
        <w:rPr>
          <w:rStyle w:val="1168"/>
        </w:rPr>
        <w:footnoteRef/>
      </w:r>
      <w:r>
        <w:tab/>
      </w:r>
      <w:r>
        <w:rPr>
          <w:sz w:val="20"/>
          <w:szCs w:val="20"/>
        </w:rPr>
        <w:t xml:space="preserve">https://minfin.gov.ru/ru/perfomance/tax_relations/policy/bankwarranty/</w:t>
      </w:r>
      <w:r/>
    </w:p>
  </w:footnote>
  <w:footnote w:id="12">
    <w:p>
      <w:pPr>
        <w:pStyle w:val="1169"/>
        <w:rPr>
          <w:sz w:val="20"/>
          <w:szCs w:val="20"/>
        </w:rPr>
      </w:pPr>
      <w:r>
        <w:rPr>
          <w:rStyle w:val="1168"/>
        </w:rPr>
        <w:footnoteRef/>
      </w:r>
      <w:r>
        <w:tab/>
      </w:r>
      <w:r>
        <w:rPr>
          <w:sz w:val="20"/>
          <w:szCs w:val="20"/>
        </w:rPr>
        <w:t xml:space="preserve">Во исполнение Указа Президента Российской Федерации от 03.05.2022 №</w:t>
      </w:r>
      <w:r>
        <w:rPr>
          <w:sz w:val="20"/>
          <w:szCs w:val="20"/>
        </w:rPr>
        <w:t xml:space="preserve"> </w:t>
      </w:r>
      <w:r>
        <w:rPr>
          <w:sz w:val="20"/>
          <w:szCs w:val="20"/>
        </w:rPr>
        <w:t xml:space="preserve">252 «О применении ответных специальных экономических мер в связи </w:t>
      </w:r>
      <w:r>
        <w:rPr>
          <w:sz w:val="20"/>
          <w:szCs w:val="20"/>
        </w:rPr>
        <w:t xml:space="preserve">с</w:t>
      </w:r>
      <w:r>
        <w:rPr>
          <w:sz w:val="20"/>
          <w:szCs w:val="20"/>
        </w:rPr>
        <w:t xml:space="preserve"> </w:t>
      </w:r>
      <w:r>
        <w:rPr>
          <w:sz w:val="20"/>
          <w:szCs w:val="20"/>
        </w:rPr>
        <w:t xml:space="preserve">недружественными </w:t>
      </w:r>
      <w:r>
        <w:rPr>
          <w:sz w:val="20"/>
          <w:szCs w:val="20"/>
        </w:rPr>
        <w:t xml:space="preserve">действиями некоторых иностранных государств и международных организаций».</w:t>
      </w:r>
      <w:r>
        <w:rPr>
          <w:sz w:val="20"/>
          <w:szCs w:val="20"/>
        </w:rPr>
      </w:r>
      <w:r>
        <w:rPr>
          <w:sz w:val="20"/>
          <w:szCs w:val="20"/>
        </w:rPr>
      </w:r>
    </w:p>
  </w:footnote>
  <w:footnote w:id="13">
    <w:p>
      <w:pPr>
        <w:pStyle w:val="1169"/>
        <w:rPr>
          <w:sz w:val="20"/>
          <w:szCs w:val="20"/>
        </w:rPr>
      </w:pPr>
      <w:r>
        <w:rPr>
          <w:rStyle w:val="1168"/>
          <w:sz w:val="20"/>
          <w:szCs w:val="20"/>
        </w:rPr>
        <w:footnoteRef/>
      </w:r>
      <w:r>
        <w:rPr>
          <w:sz w:val="20"/>
          <w:szCs w:val="20"/>
        </w:rPr>
        <w:tab/>
      </w:r>
      <w:r>
        <w:rPr>
          <w:sz w:val="20"/>
          <w:szCs w:val="20"/>
        </w:rPr>
        <w:t xml:space="preserve">Перед заключением д</w:t>
      </w:r>
      <w:r>
        <w:rPr>
          <w:sz w:val="20"/>
          <w:szCs w:val="20"/>
        </w:rPr>
        <w:t xml:space="preserve">оговора Заказчик дополнительно проводит проверку Победителя (данная норма применима также в отношении Единственного участника несостоявшейся закупки, с которым принято решение о заключении договора) на основании документов, предоставляемых в соответствии с</w:t>
      </w:r>
      <w:r>
        <w:rPr>
          <w:sz w:val="20"/>
          <w:szCs w:val="20"/>
        </w:rPr>
        <w:t xml:space="preserve"> </w:t>
      </w:r>
      <w:r>
        <w:rPr>
          <w:sz w:val="20"/>
          <w:szCs w:val="20"/>
        </w:rPr>
        <w:t xml:space="preserve">подразделом</w:t>
      </w:r>
      <w:r>
        <w:rPr>
          <w:sz w:val="20"/>
          <w:szCs w:val="20"/>
        </w:rPr>
        <w:t xml:space="preserve"> 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_Ref138341423 \r \h </w:instrText>
      </w:r>
      <w:r>
        <w:rPr>
          <w:sz w:val="20"/>
          <w:szCs w:val="20"/>
        </w:rPr>
        <w:fldChar w:fldCharType="separate"/>
      </w:r>
      <w:r>
        <w:rPr>
          <w:sz w:val="20"/>
          <w:szCs w:val="20"/>
        </w:rPr>
        <w:t xml:space="preserve">5.2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. </w:t>
      </w:r>
      <w:r>
        <w:rPr>
          <w:sz w:val="20"/>
          <w:szCs w:val="20"/>
        </w:rPr>
        <w:t xml:space="preserve">Е</w:t>
      </w:r>
      <w:r>
        <w:rPr>
          <w:sz w:val="20"/>
          <w:szCs w:val="20"/>
        </w:rPr>
        <w:t xml:space="preserve">сли по результатам такой проверки Участник не отвечает установленным требованиям, то он утрачивает статус Победителя, а</w:t>
      </w:r>
      <w:r>
        <w:rPr>
          <w:sz w:val="20"/>
          <w:szCs w:val="20"/>
        </w:rPr>
        <w:t xml:space="preserve"> </w:t>
      </w:r>
      <w:r>
        <w:rPr>
          <w:sz w:val="20"/>
          <w:szCs w:val="20"/>
        </w:rPr>
        <w:t xml:space="preserve">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>
        <w:rPr>
          <w:sz w:val="20"/>
          <w:szCs w:val="20"/>
        </w:rPr>
      </w:r>
      <w:r>
        <w:rPr>
          <w:sz w:val="20"/>
          <w:szCs w:val="20"/>
        </w:rPr>
      </w:r>
    </w:p>
  </w:footnote>
  <w:footnote w:id="14">
    <w:p>
      <w:pPr>
        <w:pStyle w:val="1166"/>
      </w:pPr>
      <w:r>
        <w:rPr>
          <w:rStyle w:val="1168"/>
        </w:rPr>
        <w:footnoteRef/>
      </w:r>
      <w:r>
        <w:t xml:space="preserve"> </w:t>
      </w:r>
      <w:r>
        <w:t xml:space="preserve">В Положении об аккредитации используется термин </w:t>
      </w:r>
      <w:r>
        <w:t xml:space="preserve">«</w:t>
      </w:r>
      <w:r>
        <w:t xml:space="preserve">Заявитель</w:t>
      </w:r>
      <w:r>
        <w:t xml:space="preserve">»</w:t>
      </w:r>
      <w:r>
        <w:t xml:space="preserve">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6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ascii="Times New Roman" w:hAnsi="Times New Roman" w:cs="Times New Roman"/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660" w:hanging="660"/>
      </w:pPr>
      <w:rPr>
        <w:rFonts w:hint="default"/>
      </w:rPr>
    </w:lvl>
    <w:lvl w:ilvl="2">
      <w:start w:val="13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2694" w:hanging="1134"/>
        <w:tabs>
          <w:tab w:val="num" w:pos="2694" w:leader="none"/>
        </w:tabs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1195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1197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1198"/>
      <w:isLgl w:val="false"/>
      <w:suff w:val="tab"/>
      <w:lvlText w:val="%5)"/>
      <w:lvlJc w:val="left"/>
      <w:pPr>
        <w:ind w:left="5104" w:hanging="567"/>
        <w:tabs>
          <w:tab w:val="num" w:pos="5104" w:leader="none"/>
        </w:tabs>
      </w:pPr>
      <w:rPr>
        <w:rFonts w:hint="default"/>
        <w:b w:val="0"/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pStyle w:val="1154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155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  <w:highlight w:val="white"/>
      </w:rPr>
    </w:lvl>
    <w:lvl w:ilvl="2">
      <w:start w:val="1"/>
      <w:numFmt w:val="decimal"/>
      <w:pStyle w:val="1156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157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158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pStyle w:val="1206"/>
      <w:isLgl w:val="false"/>
      <w:suff w:val="tab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1207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208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209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210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1036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756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6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6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6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</w:lvl>
    <w:lvl w:ilvl="3">
      <w:start w:val="1"/>
      <w:numFmt w:val="decimal"/>
      <w:isLgl w:val="false"/>
      <w:suff w:val="tab"/>
      <w:lvlText w:val="(%4)"/>
      <w:lvlJc w:val="left"/>
      <w:pPr>
        <w:ind w:left="1701" w:hanging="567"/>
      </w:p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</w:lvl>
    <w:lvl w:ilvl="6">
      <w:start w:val="1"/>
      <w:numFmt w:val="none"/>
      <w:lvlRestart w:val="4"/>
      <w:isLgl w:val="false"/>
      <w:suff w:val="nothing"/>
      <w:lvlText w:val=""/>
      <w:lvlJc w:val="left"/>
      <w:pPr>
        <w:ind w:left="1701" w:firstLine="0"/>
      </w:pPr>
    </w:lvl>
    <w:lvl w:ilvl="7">
      <w:start w:val="1"/>
      <w:numFmt w:val="none"/>
      <w:lvlRestart w:val="3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1036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756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6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6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6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04" w:hanging="360"/>
      </w:pPr>
      <w:rPr>
        <w:rFonts w:hint="default" w:ascii="Times New Roman" w:hAnsi="Times New Roman" w:cs="Times New Roman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82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4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6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8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0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2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4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64" w:hanging="180"/>
      </w:p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4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9" w:hanging="360"/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6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8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0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2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6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8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27" w:hanging="360"/>
      </w:pPr>
      <w:rPr>
        <w:rFonts w:hint="default" w:ascii="Wingdings" w:hAnsi="Wingdings" w:eastAsia="Wingdings" w:cs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14"/>
  </w:num>
  <w:num w:numId="2">
    <w:abstractNumId w:val="15"/>
  </w:num>
  <w:num w:numId="3">
    <w:abstractNumId w:val="4"/>
  </w:num>
  <w:num w:numId="4">
    <w:abstractNumId w:val="16"/>
  </w:num>
  <w:num w:numId="5">
    <w:abstractNumId w:val="12"/>
  </w:num>
  <w:num w:numId="6">
    <w:abstractNumId w:val="7"/>
  </w:num>
  <w:num w:numId="7">
    <w:abstractNumId w:val="5"/>
  </w:num>
  <w:num w:numId="8">
    <w:abstractNumId w:val="1"/>
  </w:num>
  <w:num w:numId="9">
    <w:abstractNumId w:val="18"/>
  </w:num>
  <w:num w:numId="10">
    <w:abstractNumId w:val="6"/>
  </w:num>
  <w:num w:numId="11">
    <w:abstractNumId w:val="17"/>
  </w:num>
  <w:num w:numId="12">
    <w:abstractNumId w:val="20"/>
  </w:num>
  <w:num w:numId="13">
    <w:abstractNumId w:val="2"/>
  </w:num>
  <w:num w:numId="14">
    <w:abstractNumId w:val="3"/>
  </w:num>
  <w:num w:numId="15">
    <w:abstractNumId w:val="13"/>
  </w:num>
  <w:num w:numId="16">
    <w:abstractNumId w:val="9"/>
  </w:num>
  <w:num w:numId="17">
    <w:abstractNumId w:val="21"/>
  </w:num>
  <w:num w:numId="18">
    <w:abstractNumId w:val="19"/>
  </w:num>
  <w:num w:numId="19">
    <w:abstractNumId w:val="10"/>
  </w:num>
  <w:num w:numId="20">
    <w:abstractNumId w:val="8"/>
  </w:num>
  <w:num w:numId="21">
    <w:abstractNumId w:val="11"/>
  </w:num>
  <w:num w:numId="22">
    <w:abstractNumId w:val="22"/>
  </w:num>
  <w:num w:numId="23">
    <w:abstractNumId w:val="0"/>
  </w:num>
  <w:num w:numId="24">
    <w:abstractNumId w:val="14"/>
  </w:num>
  <w:num w:numId="25">
    <w:abstractNumId w:val="23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  <w:num w:numId="37">
    <w:abstractNumId w:val="35"/>
  </w:num>
  <w:num w:numId="38">
    <w:abstractNumId w:val="36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88">
    <w:name w:val="Heading 1 Char"/>
    <w:basedOn w:val="1151"/>
    <w:link w:val="1148"/>
    <w:uiPriority w:val="9"/>
    <w:rPr>
      <w:rFonts w:ascii="Arial" w:hAnsi="Arial" w:eastAsia="Arial" w:cs="Arial"/>
      <w:sz w:val="40"/>
      <w:szCs w:val="40"/>
    </w:rPr>
  </w:style>
  <w:style w:type="character" w:styleId="989">
    <w:name w:val="Heading 2 Char"/>
    <w:basedOn w:val="1151"/>
    <w:link w:val="1149"/>
    <w:uiPriority w:val="9"/>
    <w:rPr>
      <w:rFonts w:ascii="Arial" w:hAnsi="Arial" w:eastAsia="Arial" w:cs="Arial"/>
      <w:sz w:val="34"/>
    </w:rPr>
  </w:style>
  <w:style w:type="character" w:styleId="990">
    <w:name w:val="Heading 3 Char"/>
    <w:basedOn w:val="1151"/>
    <w:link w:val="1150"/>
    <w:uiPriority w:val="9"/>
    <w:rPr>
      <w:rFonts w:ascii="Arial" w:hAnsi="Arial" w:eastAsia="Arial" w:cs="Arial"/>
      <w:sz w:val="30"/>
      <w:szCs w:val="30"/>
    </w:rPr>
  </w:style>
  <w:style w:type="paragraph" w:styleId="991">
    <w:name w:val="Heading 4"/>
    <w:basedOn w:val="1147"/>
    <w:next w:val="1147"/>
    <w:link w:val="99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92">
    <w:name w:val="Heading 4 Char"/>
    <w:basedOn w:val="1151"/>
    <w:link w:val="991"/>
    <w:uiPriority w:val="9"/>
    <w:rPr>
      <w:rFonts w:ascii="Arial" w:hAnsi="Arial" w:eastAsia="Arial" w:cs="Arial"/>
      <w:b/>
      <w:bCs/>
      <w:sz w:val="26"/>
      <w:szCs w:val="26"/>
    </w:rPr>
  </w:style>
  <w:style w:type="paragraph" w:styleId="993">
    <w:name w:val="Heading 5"/>
    <w:basedOn w:val="1147"/>
    <w:next w:val="1147"/>
    <w:link w:val="99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94">
    <w:name w:val="Heading 5 Char"/>
    <w:basedOn w:val="1151"/>
    <w:link w:val="993"/>
    <w:uiPriority w:val="9"/>
    <w:rPr>
      <w:rFonts w:ascii="Arial" w:hAnsi="Arial" w:eastAsia="Arial" w:cs="Arial"/>
      <w:b/>
      <w:bCs/>
      <w:sz w:val="24"/>
      <w:szCs w:val="24"/>
    </w:rPr>
  </w:style>
  <w:style w:type="paragraph" w:styleId="995">
    <w:name w:val="Heading 6"/>
    <w:basedOn w:val="1147"/>
    <w:next w:val="1147"/>
    <w:link w:val="99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96">
    <w:name w:val="Heading 6 Char"/>
    <w:basedOn w:val="1151"/>
    <w:link w:val="995"/>
    <w:uiPriority w:val="9"/>
    <w:rPr>
      <w:rFonts w:ascii="Arial" w:hAnsi="Arial" w:eastAsia="Arial" w:cs="Arial"/>
      <w:b/>
      <w:bCs/>
      <w:sz w:val="22"/>
      <w:szCs w:val="22"/>
    </w:rPr>
  </w:style>
  <w:style w:type="paragraph" w:styleId="997">
    <w:name w:val="Heading 7"/>
    <w:basedOn w:val="1147"/>
    <w:next w:val="1147"/>
    <w:link w:val="99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98">
    <w:name w:val="Heading 7 Char"/>
    <w:basedOn w:val="1151"/>
    <w:link w:val="99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99">
    <w:name w:val="Heading 8"/>
    <w:basedOn w:val="1147"/>
    <w:next w:val="1147"/>
    <w:link w:val="100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1000">
    <w:name w:val="Heading 8 Char"/>
    <w:basedOn w:val="1151"/>
    <w:link w:val="999"/>
    <w:uiPriority w:val="9"/>
    <w:rPr>
      <w:rFonts w:ascii="Arial" w:hAnsi="Arial" w:eastAsia="Arial" w:cs="Arial"/>
      <w:i/>
      <w:iCs/>
      <w:sz w:val="22"/>
      <w:szCs w:val="22"/>
    </w:rPr>
  </w:style>
  <w:style w:type="paragraph" w:styleId="1001">
    <w:name w:val="Heading 9"/>
    <w:basedOn w:val="1147"/>
    <w:next w:val="1147"/>
    <w:link w:val="100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1002">
    <w:name w:val="Heading 9 Char"/>
    <w:basedOn w:val="1151"/>
    <w:link w:val="1001"/>
    <w:uiPriority w:val="9"/>
    <w:rPr>
      <w:rFonts w:ascii="Arial" w:hAnsi="Arial" w:eastAsia="Arial" w:cs="Arial"/>
      <w:i/>
      <w:iCs/>
      <w:sz w:val="21"/>
      <w:szCs w:val="21"/>
    </w:rPr>
  </w:style>
  <w:style w:type="paragraph" w:styleId="1003">
    <w:name w:val="No Spacing"/>
    <w:uiPriority w:val="1"/>
    <w:qFormat/>
    <w:pPr>
      <w:spacing w:before="0" w:after="0" w:line="240" w:lineRule="auto"/>
    </w:pPr>
  </w:style>
  <w:style w:type="paragraph" w:styleId="1004">
    <w:name w:val="Title"/>
    <w:basedOn w:val="1147"/>
    <w:next w:val="1147"/>
    <w:link w:val="100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005">
    <w:name w:val="Title Char"/>
    <w:basedOn w:val="1151"/>
    <w:link w:val="1004"/>
    <w:uiPriority w:val="10"/>
    <w:rPr>
      <w:sz w:val="48"/>
      <w:szCs w:val="48"/>
    </w:rPr>
  </w:style>
  <w:style w:type="paragraph" w:styleId="1006">
    <w:name w:val="Subtitle"/>
    <w:basedOn w:val="1147"/>
    <w:next w:val="1147"/>
    <w:link w:val="1007"/>
    <w:uiPriority w:val="11"/>
    <w:qFormat/>
    <w:pPr>
      <w:spacing w:before="200" w:after="200"/>
    </w:pPr>
    <w:rPr>
      <w:sz w:val="24"/>
      <w:szCs w:val="24"/>
    </w:rPr>
  </w:style>
  <w:style w:type="character" w:styleId="1007">
    <w:name w:val="Subtitle Char"/>
    <w:basedOn w:val="1151"/>
    <w:link w:val="1006"/>
    <w:uiPriority w:val="11"/>
    <w:rPr>
      <w:sz w:val="24"/>
      <w:szCs w:val="24"/>
    </w:rPr>
  </w:style>
  <w:style w:type="paragraph" w:styleId="1008">
    <w:name w:val="Quote"/>
    <w:basedOn w:val="1147"/>
    <w:next w:val="1147"/>
    <w:link w:val="1009"/>
    <w:uiPriority w:val="29"/>
    <w:qFormat/>
    <w:pPr>
      <w:ind w:left="720" w:right="720"/>
    </w:pPr>
    <w:rPr>
      <w:i/>
    </w:rPr>
  </w:style>
  <w:style w:type="character" w:styleId="1009">
    <w:name w:val="Quote Char"/>
    <w:link w:val="1008"/>
    <w:uiPriority w:val="29"/>
    <w:rPr>
      <w:i/>
    </w:rPr>
  </w:style>
  <w:style w:type="paragraph" w:styleId="1010">
    <w:name w:val="Intense Quote"/>
    <w:basedOn w:val="1147"/>
    <w:next w:val="1147"/>
    <w:link w:val="101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011">
    <w:name w:val="Intense Quote Char"/>
    <w:link w:val="1010"/>
    <w:uiPriority w:val="30"/>
    <w:rPr>
      <w:i/>
    </w:rPr>
  </w:style>
  <w:style w:type="character" w:styleId="1012">
    <w:name w:val="Header Char"/>
    <w:basedOn w:val="1151"/>
    <w:link w:val="1161"/>
    <w:uiPriority w:val="99"/>
  </w:style>
  <w:style w:type="character" w:styleId="1013">
    <w:name w:val="Footer Char"/>
    <w:basedOn w:val="1151"/>
    <w:link w:val="1163"/>
    <w:uiPriority w:val="99"/>
  </w:style>
  <w:style w:type="paragraph" w:styleId="1014">
    <w:name w:val="Caption"/>
    <w:basedOn w:val="1147"/>
    <w:next w:val="1147"/>
    <w:link w:val="101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015">
    <w:name w:val="Caption Char"/>
    <w:basedOn w:val="1014"/>
    <w:link w:val="1163"/>
    <w:uiPriority w:val="99"/>
  </w:style>
  <w:style w:type="table" w:styleId="1016">
    <w:name w:val="Table Grid Light"/>
    <w:basedOn w:val="115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17">
    <w:name w:val="Plain Table 1"/>
    <w:basedOn w:val="115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18">
    <w:name w:val="Plain Table 2"/>
    <w:basedOn w:val="115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19">
    <w:name w:val="Plain Table 3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20">
    <w:name w:val="Plain Table 4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1">
    <w:name w:val="Plain Table 5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22">
    <w:name w:val="Grid Table 1 Light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3">
    <w:name w:val="Grid Table 1 Light - Accent 1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4">
    <w:name w:val="Grid Table 1 Light - Accent 2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5">
    <w:name w:val="Grid Table 1 Light - Accent 3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6">
    <w:name w:val="Grid Table 1 Light - Accent 4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7">
    <w:name w:val="Grid Table 1 Light - Accent 5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8">
    <w:name w:val="Grid Table 1 Light - Accent 6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9">
    <w:name w:val="Grid Table 2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0">
    <w:name w:val="Grid Table 2 - Accent 1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1">
    <w:name w:val="Grid Table 2 - Accent 2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2">
    <w:name w:val="Grid Table 2 - Accent 3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3">
    <w:name w:val="Grid Table 2 - Accent 4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4">
    <w:name w:val="Grid Table 2 - Accent 5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5">
    <w:name w:val="Grid Table 2 - Accent 6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6">
    <w:name w:val="Grid Table 3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7">
    <w:name w:val="Grid Table 3 - Accent 1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8">
    <w:name w:val="Grid Table 3 - Accent 2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9">
    <w:name w:val="Grid Table 3 - Accent 3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0">
    <w:name w:val="Grid Table 3 - Accent 4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1">
    <w:name w:val="Grid Table 3 - Accent 5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2">
    <w:name w:val="Grid Table 3 - Accent 6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3">
    <w:name w:val="Grid Table 4"/>
    <w:basedOn w:val="11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44">
    <w:name w:val="Grid Table 4 - Accent 1"/>
    <w:basedOn w:val="11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045">
    <w:name w:val="Grid Table 4 - Accent 2"/>
    <w:basedOn w:val="11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046">
    <w:name w:val="Grid Table 4 - Accent 3"/>
    <w:basedOn w:val="11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47">
    <w:name w:val="Grid Table 4 - Accent 4"/>
    <w:basedOn w:val="11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48">
    <w:name w:val="Grid Table 4 - Accent 5"/>
    <w:basedOn w:val="11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49">
    <w:name w:val="Grid Table 4 - Accent 6"/>
    <w:basedOn w:val="11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50">
    <w:name w:val="Grid Table 5 Dark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51">
    <w:name w:val="Grid Table 5 Dark- Accent 1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1052">
    <w:name w:val="Grid Table 5 Dark - Accent 2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053">
    <w:name w:val="Grid Table 5 Dark - Accent 3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054">
    <w:name w:val="Grid Table 5 Dark- Accent 4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055">
    <w:name w:val="Grid Table 5 Dark - Accent 5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056">
    <w:name w:val="Grid Table 5 Dark - Accent 6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57">
    <w:name w:val="Grid Table 6 Colorful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58">
    <w:name w:val="Grid Table 6 Colorful - Accent 1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59">
    <w:name w:val="Grid Table 6 Colorful - Accent 2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60">
    <w:name w:val="Grid Table 6 Colorful - Accent 3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61">
    <w:name w:val="Grid Table 6 Colorful - Accent 4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62">
    <w:name w:val="Grid Table 6 Colorful - Accent 5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63">
    <w:name w:val="Grid Table 6 Colorful - Accent 6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64">
    <w:name w:val="Grid Table 7 Colorful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5">
    <w:name w:val="Grid Table 7 Colorful - Accent 1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6">
    <w:name w:val="Grid Table 7 Colorful - Accent 2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7">
    <w:name w:val="Grid Table 7 Colorful - Accent 3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8">
    <w:name w:val="Grid Table 7 Colorful - Accent 4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9">
    <w:name w:val="Grid Table 7 Colorful - Accent 5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0">
    <w:name w:val="Grid Table 7 Colorful - Accent 6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1">
    <w:name w:val="List Table 1 Light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2">
    <w:name w:val="List Table 1 Light - Accent 1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3">
    <w:name w:val="List Table 1 Light - Accent 2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4">
    <w:name w:val="List Table 1 Light - Accent 3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5">
    <w:name w:val="List Table 1 Light - Accent 4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6">
    <w:name w:val="List Table 1 Light - Accent 5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7">
    <w:name w:val="List Table 1 Light - Accent 6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8">
    <w:name w:val="List Table 2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79">
    <w:name w:val="List Table 2 - Accent 1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80">
    <w:name w:val="List Table 2 - Accent 2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81">
    <w:name w:val="List Table 2 - Accent 3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82">
    <w:name w:val="List Table 2 - Accent 4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83">
    <w:name w:val="List Table 2 - Accent 5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84">
    <w:name w:val="List Table 2 - Accent 6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85">
    <w:name w:val="List Table 3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6">
    <w:name w:val="List Table 3 - Accent 1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7">
    <w:name w:val="List Table 3 - Accent 2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8">
    <w:name w:val="List Table 3 - Accent 3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9">
    <w:name w:val="List Table 3 - Accent 4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0">
    <w:name w:val="List Table 3 - Accent 5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1">
    <w:name w:val="List Table 3 - Accent 6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2">
    <w:name w:val="List Table 4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3">
    <w:name w:val="List Table 4 - Accent 1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4">
    <w:name w:val="List Table 4 - Accent 2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5">
    <w:name w:val="List Table 4 - Accent 3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6">
    <w:name w:val="List Table 4 - Accent 4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7">
    <w:name w:val="List Table 4 - Accent 5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8">
    <w:name w:val="List Table 4 - Accent 6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9">
    <w:name w:val="List Table 5 Dark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0">
    <w:name w:val="List Table 5 Dark - Accent 1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1">
    <w:name w:val="List Table 5 Dark - Accent 2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2">
    <w:name w:val="List Table 5 Dark - Accent 3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3">
    <w:name w:val="List Table 5 Dark - Accent 4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4">
    <w:name w:val="List Table 5 Dark - Accent 5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5">
    <w:name w:val="List Table 5 Dark - Accent 6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6">
    <w:name w:val="List Table 6 Colorful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107">
    <w:name w:val="List Table 6 Colorful - Accent 1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108">
    <w:name w:val="List Table 6 Colorful - Accent 2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109">
    <w:name w:val="List Table 6 Colorful - Accent 3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110">
    <w:name w:val="List Table 6 Colorful - Accent 4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111">
    <w:name w:val="List Table 6 Colorful - Accent 5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112">
    <w:name w:val="List Table 6 Colorful - Accent 6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113">
    <w:name w:val="List Table 7 Colorful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114">
    <w:name w:val="List Table 7 Colorful - Accent 1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115">
    <w:name w:val="List Table 7 Colorful - Accent 2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116">
    <w:name w:val="List Table 7 Colorful - Accent 3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117">
    <w:name w:val="List Table 7 Colorful - Accent 4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118">
    <w:name w:val="List Table 7 Colorful - Accent 5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119">
    <w:name w:val="List Table 7 Colorful - Accent 6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120">
    <w:name w:val="Lined - Accent"/>
    <w:basedOn w:val="11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21">
    <w:name w:val="Lined - Accent 1"/>
    <w:basedOn w:val="11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22">
    <w:name w:val="Lined - Accent 2"/>
    <w:basedOn w:val="11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23">
    <w:name w:val="Lined - Accent 3"/>
    <w:basedOn w:val="11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24">
    <w:name w:val="Lined - Accent 4"/>
    <w:basedOn w:val="11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25">
    <w:name w:val="Lined - Accent 5"/>
    <w:basedOn w:val="11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26">
    <w:name w:val="Lined - Accent 6"/>
    <w:basedOn w:val="11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27">
    <w:name w:val="Bordered &amp; Lined - Accent"/>
    <w:basedOn w:val="11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28">
    <w:name w:val="Bordered &amp; Lined - Accent 1"/>
    <w:basedOn w:val="11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29">
    <w:name w:val="Bordered &amp; Lined - Accent 2"/>
    <w:basedOn w:val="11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30">
    <w:name w:val="Bordered &amp; Lined - Accent 3"/>
    <w:basedOn w:val="11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31">
    <w:name w:val="Bordered &amp; Lined - Accent 4"/>
    <w:basedOn w:val="11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32">
    <w:name w:val="Bordered &amp; Lined - Accent 5"/>
    <w:basedOn w:val="11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33">
    <w:name w:val="Bordered &amp; Lined - Accent 6"/>
    <w:basedOn w:val="11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34">
    <w:name w:val="Bordered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135">
    <w:name w:val="Bordered - Accent 1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136">
    <w:name w:val="Bordered - Accent 2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137">
    <w:name w:val="Bordered - Accent 3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138">
    <w:name w:val="Bordered - Accent 4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139">
    <w:name w:val="Bordered - Accent 5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140">
    <w:name w:val="Bordered - Accent 6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141">
    <w:name w:val="Footnote Text Char"/>
    <w:link w:val="1166"/>
    <w:uiPriority w:val="99"/>
    <w:rPr>
      <w:sz w:val="18"/>
    </w:rPr>
  </w:style>
  <w:style w:type="paragraph" w:styleId="1142">
    <w:name w:val="endnote text"/>
    <w:basedOn w:val="1147"/>
    <w:link w:val="1143"/>
    <w:uiPriority w:val="99"/>
    <w:semiHidden/>
    <w:unhideWhenUsed/>
    <w:pPr>
      <w:spacing w:after="0" w:line="240" w:lineRule="auto"/>
    </w:pPr>
    <w:rPr>
      <w:sz w:val="20"/>
    </w:rPr>
  </w:style>
  <w:style w:type="character" w:styleId="1143">
    <w:name w:val="Endnote Text Char"/>
    <w:link w:val="1142"/>
    <w:uiPriority w:val="99"/>
    <w:rPr>
      <w:sz w:val="20"/>
    </w:rPr>
  </w:style>
  <w:style w:type="character" w:styleId="1144">
    <w:name w:val="endnote reference"/>
    <w:basedOn w:val="1151"/>
    <w:uiPriority w:val="99"/>
    <w:semiHidden/>
    <w:unhideWhenUsed/>
    <w:rPr>
      <w:vertAlign w:val="superscript"/>
    </w:rPr>
  </w:style>
  <w:style w:type="paragraph" w:styleId="1145">
    <w:name w:val="TOC Heading"/>
    <w:uiPriority w:val="39"/>
    <w:unhideWhenUsed/>
  </w:style>
  <w:style w:type="paragraph" w:styleId="1146">
    <w:name w:val="table of figures"/>
    <w:basedOn w:val="1147"/>
    <w:next w:val="1147"/>
    <w:uiPriority w:val="99"/>
    <w:unhideWhenUsed/>
    <w:pPr>
      <w:spacing w:after="0" w:afterAutospacing="0"/>
    </w:pPr>
  </w:style>
  <w:style w:type="paragraph" w:styleId="1147" w:default="1">
    <w:name w:val="Normal"/>
    <w:qFormat/>
  </w:style>
  <w:style w:type="paragraph" w:styleId="1148">
    <w:name w:val="Heading 1"/>
    <w:basedOn w:val="1147"/>
    <w:next w:val="1147"/>
    <w:link w:val="1199"/>
    <w:pPr>
      <w:ind w:left="1134" w:hanging="1134"/>
      <w:keepLines/>
      <w:keepNext/>
      <w:pageBreakBefore/>
      <w:spacing w:before="480" w:after="240"/>
      <w:tabs>
        <w:tab w:val="num" w:pos="1134" w:leader="none"/>
      </w:tabs>
      <w:outlineLvl w:val="0"/>
    </w:pPr>
    <w:rPr>
      <w:rFonts w:ascii="Arial" w:hAnsi="Arial" w:eastAsia="Times New Roman" w:cs="Times New Roman"/>
      <w:b/>
      <w:sz w:val="40"/>
      <w:szCs w:val="26"/>
      <w:lang w:eastAsia="ru-RU"/>
    </w:rPr>
  </w:style>
  <w:style w:type="paragraph" w:styleId="1149">
    <w:name w:val="Heading 2"/>
    <w:basedOn w:val="1147"/>
    <w:next w:val="1147"/>
    <w:link w:val="1200"/>
    <w:pPr>
      <w:ind w:left="2694" w:hanging="1134"/>
      <w:keepNext/>
      <w:spacing w:before="360" w:after="120"/>
      <w:tabs>
        <w:tab w:val="num" w:pos="2694" w:leader="none"/>
      </w:tabs>
      <w:outlineLvl w:val="1"/>
    </w:pPr>
    <w:rPr>
      <w:rFonts w:eastAsia="Times New Roman" w:cs="Times New Roman"/>
      <w:b/>
      <w:sz w:val="32"/>
      <w:szCs w:val="26"/>
      <w:lang w:eastAsia="ru-RU"/>
    </w:rPr>
  </w:style>
  <w:style w:type="paragraph" w:styleId="1150">
    <w:name w:val="Heading 3"/>
    <w:basedOn w:val="1147"/>
    <w:next w:val="1147"/>
    <w:link w:val="1201"/>
    <w:semiHidden/>
    <w:unhideWhenUsed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1151" w:default="1">
    <w:name w:val="Default Paragraph Font"/>
    <w:uiPriority w:val="1"/>
    <w:semiHidden/>
    <w:unhideWhenUsed/>
  </w:style>
  <w:style w:type="table" w:styleId="115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53" w:default="1">
    <w:name w:val="No List"/>
    <w:uiPriority w:val="99"/>
    <w:semiHidden/>
    <w:unhideWhenUsed/>
  </w:style>
  <w:style w:type="paragraph" w:styleId="1154" w:customStyle="1">
    <w:name w:val="[РГ] Раздел"/>
    <w:basedOn w:val="1147"/>
    <w:next w:val="1155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155" w:customStyle="1">
    <w:name w:val="[РГ] Подраздел"/>
    <w:basedOn w:val="1147"/>
    <w:next w:val="1156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156" w:customStyle="1">
    <w:name w:val="[РГ] Пункт"/>
    <w:basedOn w:val="1147"/>
    <w:qFormat/>
    <w:pPr>
      <w:numPr>
        <w:ilvl w:val="2"/>
        <w:numId w:val="1"/>
      </w:numPr>
      <w:jc w:val="both"/>
      <w:outlineLvl w:val="2"/>
    </w:pPr>
  </w:style>
  <w:style w:type="paragraph" w:styleId="1157" w:customStyle="1">
    <w:name w:val="[РГ] Подпункт"/>
    <w:basedOn w:val="1147"/>
    <w:qFormat/>
    <w:pPr>
      <w:numPr>
        <w:ilvl w:val="3"/>
        <w:numId w:val="1"/>
      </w:numPr>
      <w:jc w:val="both"/>
      <w:outlineLvl w:val="3"/>
    </w:pPr>
  </w:style>
  <w:style w:type="paragraph" w:styleId="1158" w:customStyle="1">
    <w:name w:val="[РГ] Перечисление"/>
    <w:basedOn w:val="1147"/>
    <w:qFormat/>
    <w:pPr>
      <w:numPr>
        <w:ilvl w:val="4"/>
        <w:numId w:val="1"/>
      </w:numPr>
      <w:jc w:val="both"/>
      <w:outlineLvl w:val="4"/>
    </w:pPr>
  </w:style>
  <w:style w:type="paragraph" w:styleId="1159" w:customStyle="1">
    <w:name w:val="[РГ] Заголовок"/>
    <w:basedOn w:val="1147"/>
    <w:next w:val="1160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60" w:customStyle="1">
    <w:name w:val="[РГ] Текст"/>
    <w:basedOn w:val="1147"/>
    <w:qFormat/>
    <w:pPr>
      <w:jc w:val="both"/>
    </w:pPr>
  </w:style>
  <w:style w:type="paragraph" w:styleId="1161">
    <w:name w:val="Header"/>
    <w:basedOn w:val="1147"/>
    <w:link w:val="1162"/>
    <w:uiPriority w:val="99"/>
    <w:unhideWhenUsed/>
    <w:pPr>
      <w:jc w:val="center"/>
      <w:spacing w:before="0" w:after="120"/>
    </w:pPr>
  </w:style>
  <w:style w:type="character" w:styleId="1162" w:customStyle="1">
    <w:name w:val="Верхний колонтитул Знак"/>
    <w:basedOn w:val="1151"/>
    <w:link w:val="1161"/>
    <w:uiPriority w:val="99"/>
  </w:style>
  <w:style w:type="paragraph" w:styleId="1163">
    <w:name w:val="Footer"/>
    <w:basedOn w:val="1147"/>
    <w:link w:val="1164"/>
    <w:unhideWhenUsed/>
    <w:pPr>
      <w:jc w:val="right"/>
    </w:pPr>
  </w:style>
  <w:style w:type="character" w:styleId="1164" w:customStyle="1">
    <w:name w:val="Нижний колонтитул Знак"/>
    <w:basedOn w:val="1151"/>
    <w:link w:val="1163"/>
    <w:uiPriority w:val="99"/>
  </w:style>
  <w:style w:type="character" w:styleId="1165" w:customStyle="1">
    <w:name w:val="[РГ] Инструкция для организатора"/>
    <w:basedOn w:val="1151"/>
    <w:uiPriority w:val="1"/>
    <w:qFormat/>
    <w:rPr>
      <w:i/>
      <w:iCs/>
      <w:shd w:val="clear" w:color="auto" w:fill="ffff99"/>
      <w:lang w:val="ru-RU"/>
    </w:rPr>
  </w:style>
  <w:style w:type="paragraph" w:styleId="1166">
    <w:name w:val="footnote text"/>
    <w:basedOn w:val="1147"/>
    <w:link w:val="1167"/>
    <w:uiPriority w:val="99"/>
    <w:semiHidden/>
    <w:unhideWhenUsed/>
    <w:pPr>
      <w:spacing w:before="0"/>
    </w:pPr>
    <w:rPr>
      <w:sz w:val="20"/>
      <w:szCs w:val="20"/>
    </w:rPr>
  </w:style>
  <w:style w:type="character" w:styleId="1167" w:customStyle="1">
    <w:name w:val="Текст сноски Знак"/>
    <w:basedOn w:val="1151"/>
    <w:link w:val="1166"/>
    <w:uiPriority w:val="99"/>
    <w:semiHidden/>
    <w:rPr>
      <w:sz w:val="20"/>
      <w:szCs w:val="20"/>
    </w:rPr>
  </w:style>
  <w:style w:type="character" w:styleId="1168">
    <w:name w:val="footnote reference"/>
    <w:basedOn w:val="1151"/>
    <w:unhideWhenUsed/>
    <w:rPr>
      <w:vertAlign w:val="superscript"/>
    </w:rPr>
  </w:style>
  <w:style w:type="paragraph" w:styleId="1169" w:customStyle="1">
    <w:name w:val="[РГ] Сноска"/>
    <w:basedOn w:val="1166"/>
    <w:qFormat/>
    <w:pPr>
      <w:ind w:left="567" w:hanging="567"/>
      <w:jc w:val="both"/>
      <w:spacing w:before="80"/>
    </w:pPr>
    <w:rPr>
      <w:sz w:val="22"/>
    </w:rPr>
  </w:style>
  <w:style w:type="character" w:styleId="1170">
    <w:name w:val="Hyperlink"/>
    <w:basedOn w:val="1151"/>
    <w:uiPriority w:val="99"/>
    <w:unhideWhenUsed/>
    <w:rPr>
      <w:color w:val="0563c1" w:themeColor="hyperlink"/>
      <w:u w:val="single"/>
    </w:rPr>
  </w:style>
  <w:style w:type="character" w:styleId="1171">
    <w:name w:val="Unresolved Mention"/>
    <w:basedOn w:val="1151"/>
    <w:uiPriority w:val="99"/>
    <w:semiHidden/>
    <w:unhideWhenUsed/>
    <w:rPr>
      <w:color w:val="605e5c"/>
      <w:shd w:val="clear" w:color="auto" w:fill="e1dfdd"/>
    </w:rPr>
  </w:style>
  <w:style w:type="paragraph" w:styleId="1172">
    <w:name w:val="toc 2"/>
    <w:basedOn w:val="1147"/>
    <w:next w:val="1147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173">
    <w:name w:val="toc 1"/>
    <w:basedOn w:val="1147"/>
    <w:next w:val="1147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174">
    <w:name w:val="toc 3"/>
    <w:basedOn w:val="1147"/>
    <w:next w:val="1147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75">
    <w:name w:val="toc 4"/>
    <w:basedOn w:val="1147"/>
    <w:next w:val="1147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76">
    <w:name w:val="toc 5"/>
    <w:basedOn w:val="1147"/>
    <w:next w:val="1147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77">
    <w:name w:val="toc 6"/>
    <w:basedOn w:val="1147"/>
    <w:next w:val="1147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78">
    <w:name w:val="toc 7"/>
    <w:basedOn w:val="1147"/>
    <w:next w:val="1147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79">
    <w:name w:val="toc 8"/>
    <w:basedOn w:val="1147"/>
    <w:next w:val="1147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80">
    <w:name w:val="toc 9"/>
    <w:basedOn w:val="1147"/>
    <w:next w:val="1147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181" w:customStyle="1">
    <w:name w:val="[РГ] Таблица"/>
    <w:basedOn w:val="1152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182">
    <w:name w:val="Table Grid"/>
    <w:basedOn w:val="1152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83">
    <w:name w:val="Placeholder Text"/>
    <w:basedOn w:val="1151"/>
    <w:uiPriority w:val="99"/>
    <w:semiHidden/>
    <w:rPr>
      <w:color w:val="808080"/>
    </w:rPr>
  </w:style>
  <w:style w:type="character" w:styleId="1184" w:customStyle="1">
    <w:name w:val="[РГ] Отсылка"/>
    <w:basedOn w:val="1151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85">
    <w:name w:val="annotation reference"/>
    <w:basedOn w:val="1151"/>
    <w:uiPriority w:val="99"/>
    <w:unhideWhenUsed/>
    <w:rPr>
      <w:sz w:val="16"/>
      <w:szCs w:val="16"/>
    </w:rPr>
  </w:style>
  <w:style w:type="paragraph" w:styleId="1186">
    <w:name w:val="annotation text"/>
    <w:basedOn w:val="1147"/>
    <w:link w:val="1187"/>
    <w:uiPriority w:val="99"/>
    <w:unhideWhenUsed/>
    <w:rPr>
      <w:sz w:val="20"/>
      <w:szCs w:val="20"/>
    </w:rPr>
  </w:style>
  <w:style w:type="character" w:styleId="1187" w:customStyle="1">
    <w:name w:val="Текст примечания Знак"/>
    <w:basedOn w:val="1151"/>
    <w:link w:val="1186"/>
    <w:uiPriority w:val="99"/>
    <w:rPr>
      <w:sz w:val="20"/>
      <w:szCs w:val="20"/>
    </w:rPr>
  </w:style>
  <w:style w:type="paragraph" w:styleId="1188">
    <w:name w:val="annotation subject"/>
    <w:basedOn w:val="1186"/>
    <w:next w:val="1186"/>
    <w:link w:val="1189"/>
    <w:uiPriority w:val="99"/>
    <w:semiHidden/>
    <w:unhideWhenUsed/>
    <w:rPr>
      <w:b/>
      <w:bCs/>
    </w:rPr>
  </w:style>
  <w:style w:type="character" w:styleId="1189" w:customStyle="1">
    <w:name w:val="Тема примечания Знак"/>
    <w:basedOn w:val="1187"/>
    <w:link w:val="1188"/>
    <w:uiPriority w:val="99"/>
    <w:semiHidden/>
    <w:rPr>
      <w:b/>
      <w:bCs/>
      <w:sz w:val="20"/>
      <w:szCs w:val="20"/>
    </w:rPr>
  </w:style>
  <w:style w:type="paragraph" w:styleId="1190" w:customStyle="1">
    <w:name w:val="[РГ] Альтернатива / Дополнение"/>
    <w:basedOn w:val="1160"/>
    <w:next w:val="1160"/>
    <w:qFormat/>
    <w:rPr>
      <w:i/>
      <w:shd w:val="clear" w:color="auto" w:fill="ccecff"/>
    </w:rPr>
  </w:style>
  <w:style w:type="character" w:styleId="1191" w:customStyle="1">
    <w:name w:val="[РГ] Инструкция для участника"/>
    <w:basedOn w:val="1151"/>
    <w:uiPriority w:val="1"/>
    <w:qFormat/>
    <w:rPr>
      <w:i/>
      <w:shd w:val="clear" w:color="auto" w:fill="d0cece" w:themeFill="background2" w:themeFillShade="E6"/>
      <w:lang w:val="ru-RU"/>
    </w:rPr>
  </w:style>
  <w:style w:type="paragraph" w:styleId="1192">
    <w:name w:val="Revision"/>
    <w:hidden/>
    <w:uiPriority w:val="99"/>
    <w:semiHidden/>
    <w:pPr>
      <w:spacing w:before="0"/>
    </w:pPr>
  </w:style>
  <w:style w:type="character" w:styleId="1193">
    <w:name w:val="FollowedHyperlink"/>
    <w:basedOn w:val="1151"/>
    <w:uiPriority w:val="99"/>
    <w:semiHidden/>
    <w:unhideWhenUsed/>
    <w:rPr>
      <w:color w:val="954f72" w:themeColor="followedHyperlink"/>
      <w:u w:val="single"/>
    </w:rPr>
  </w:style>
  <w:style w:type="paragraph" w:styleId="1194">
    <w:name w:val="List Paragraph"/>
    <w:basedOn w:val="1147"/>
    <w:uiPriority w:val="34"/>
    <w:qFormat/>
    <w:pPr>
      <w:contextualSpacing/>
      <w:ind w:left="720"/>
    </w:pPr>
  </w:style>
  <w:style w:type="paragraph" w:styleId="1195" w:customStyle="1">
    <w:name w:val="Пункт"/>
    <w:basedOn w:val="1147"/>
    <w:link w:val="1196"/>
    <w:pPr>
      <w:numPr>
        <w:ilvl w:val="2"/>
        <w:numId w:val="15"/>
      </w:numPr>
      <w:jc w:val="both"/>
    </w:pPr>
    <w:rPr>
      <w:rFonts w:eastAsia="Times New Roman" w:cs="Times New Roman"/>
      <w:szCs w:val="26"/>
      <w:lang w:eastAsia="ru-RU"/>
    </w:rPr>
  </w:style>
  <w:style w:type="character" w:styleId="1196" w:customStyle="1">
    <w:name w:val="Пункт Знак2"/>
    <w:link w:val="1195"/>
    <w:rPr>
      <w:rFonts w:eastAsia="Times New Roman" w:cs="Times New Roman"/>
      <w:szCs w:val="26"/>
      <w:lang w:eastAsia="ru-RU"/>
    </w:rPr>
  </w:style>
  <w:style w:type="paragraph" w:styleId="1197" w:customStyle="1">
    <w:name w:val="Подпункт"/>
    <w:basedOn w:val="1195"/>
    <w:pPr>
      <w:numPr>
        <w:ilvl w:val="3"/>
      </w:numPr>
      <w:ind w:left="2880" w:hanging="360"/>
      <w:tabs>
        <w:tab w:val="clear" w:pos="1134" w:leader="none"/>
      </w:tabs>
    </w:pPr>
  </w:style>
  <w:style w:type="paragraph" w:styleId="1198" w:customStyle="1">
    <w:name w:val="Подподпункт"/>
    <w:basedOn w:val="1197"/>
    <w:pPr>
      <w:numPr>
        <w:ilvl w:val="4"/>
      </w:numPr>
      <w:ind w:left="3600" w:hanging="360"/>
      <w:tabs>
        <w:tab w:val="clear" w:pos="5104" w:leader="none"/>
      </w:tabs>
    </w:pPr>
  </w:style>
  <w:style w:type="character" w:styleId="1199" w:customStyle="1">
    <w:name w:val="Заголовок 1 Знак"/>
    <w:basedOn w:val="1151"/>
    <w:link w:val="1148"/>
    <w:rPr>
      <w:rFonts w:ascii="Arial" w:hAnsi="Arial" w:eastAsia="Times New Roman" w:cs="Times New Roman"/>
      <w:b/>
      <w:sz w:val="40"/>
      <w:szCs w:val="26"/>
      <w:lang w:eastAsia="ru-RU"/>
    </w:rPr>
  </w:style>
  <w:style w:type="character" w:styleId="1200" w:customStyle="1">
    <w:name w:val="Заголовок 2 Знак"/>
    <w:basedOn w:val="1151"/>
    <w:link w:val="1149"/>
    <w:rPr>
      <w:rFonts w:eastAsia="Times New Roman" w:cs="Times New Roman"/>
      <w:b/>
      <w:sz w:val="32"/>
      <w:szCs w:val="26"/>
      <w:lang w:eastAsia="ru-RU"/>
    </w:rPr>
  </w:style>
  <w:style w:type="character" w:styleId="1201" w:customStyle="1">
    <w:name w:val="Заголовок 3 Знак"/>
    <w:basedOn w:val="1151"/>
    <w:link w:val="1150"/>
    <w:semiHidden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1202" w:customStyle="1">
    <w:name w:val="Table_header"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203" w:customStyle="1">
    <w:name w:val="комментарий"/>
    <w:rPr>
      <w:b/>
      <w:i/>
      <w:shd w:val="clear" w:color="auto" w:fill="ffff99"/>
    </w:rPr>
  </w:style>
  <w:style w:type="paragraph" w:styleId="1204" w:customStyle="1">
    <w:name w:val="Table_text"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205" w:customStyle="1">
    <w:name w:val="List Number"/>
    <w:pPr>
      <w:contextualSpacing w:val="0"/>
      <w:ind w:left="0" w:right="0" w:firstLine="0"/>
      <w:jc w:val="both"/>
      <w:keepLines w:val="0"/>
      <w:keepNext w:val="0"/>
      <w:pageBreakBefore w:val="0"/>
      <w:spacing w:before="60" w:beforeAutospacing="0" w:after="0" w:afterAutospacing="0" w:line="240" w:lineRule="auto"/>
      <w:shd w:val="nil"/>
      <w:widowControl/>
      <w:tabs>
        <w:tab w:val="num" w:pos="1134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206" w:customStyle="1">
    <w:name w:val="УРОВЕНЬ_(а)"/>
    <w:qFormat/>
    <w:pPr>
      <w:numPr>
        <w:ilvl w:val="3"/>
        <w:numId w:val="27"/>
      </w:numPr>
      <w:contextualSpacing w:val="0"/>
      <w:ind w:left="720" w:right="0" w:firstLine="567"/>
      <w:jc w:val="both"/>
      <w:keepLines w:val="0"/>
      <w:keepNext w:val="0"/>
      <w:pageBreakBefore w:val="0"/>
      <w:spacing w:before="0" w:beforeAutospacing="0" w:after="0" w:afterAutospacing="0" w:line="360" w:lineRule="exact"/>
      <w:shd w:val="nil"/>
      <w:widowControl/>
      <w:tabs>
        <w:tab w:val="num" w:pos="36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3"/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207" w:customStyle="1">
    <w:name w:val="УРОВЕНЬ_-"/>
    <w:qFormat/>
    <w:pPr>
      <w:numPr>
        <w:ilvl w:val="4"/>
        <w:numId w:val="27"/>
      </w:numPr>
      <w:contextualSpacing w:val="0"/>
      <w:ind w:left="2268" w:right="0" w:hanging="567"/>
      <w:jc w:val="both"/>
      <w:keepLines w:val="0"/>
      <w:keepNext w:val="0"/>
      <w:pageBreakBefore w:val="0"/>
      <w:spacing w:before="0" w:beforeAutospacing="0" w:after="0" w:afterAutospacing="0" w:line="360" w:lineRule="exact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4"/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208" w:customStyle="1">
    <w:name w:val="УРОВЕНЬ_Подпись"/>
    <w:qFormat/>
    <w:pPr>
      <w:numPr>
        <w:ilvl w:val="5"/>
        <w:numId w:val="27"/>
      </w:numPr>
      <w:contextualSpacing w:val="0"/>
      <w:ind w:left="720" w:right="0" w:firstLine="567"/>
      <w:jc w:val="right"/>
      <w:keepLines w:val="0"/>
      <w:keepNext/>
      <w:pageBreakBefore w:val="0"/>
      <w:spacing w:before="0" w:beforeAutospacing="0" w:after="120" w:afterAutospacing="0" w:line="360" w:lineRule="exact"/>
      <w:shd w:val="nil"/>
      <w:widowControl/>
      <w:tabs>
        <w:tab w:val="num" w:pos="36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3"/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209" w:customStyle="1">
    <w:name w:val="УРОВЕНЬ_Абзац_тип2"/>
    <w:qFormat/>
    <w:pPr>
      <w:numPr>
        <w:ilvl w:val="6"/>
        <w:numId w:val="27"/>
      </w:numPr>
      <w:contextualSpacing w:val="0"/>
      <w:ind w:left="1701" w:right="0" w:firstLine="0"/>
      <w:jc w:val="both"/>
      <w:keepLines w:val="0"/>
      <w:keepNext w:val="0"/>
      <w:pageBreakBefore w:val="0"/>
      <w:spacing w:before="0" w:beforeAutospacing="0" w:after="0" w:afterAutospacing="0" w:line="360" w:lineRule="exact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210" w:customStyle="1">
    <w:name w:val="УРОВЕНЬ_Абзац_тип3"/>
    <w:qFormat/>
    <w:pPr>
      <w:numPr>
        <w:ilvl w:val="7"/>
        <w:numId w:val="27"/>
      </w:numPr>
      <w:contextualSpacing w:val="0"/>
      <w:ind w:left="0" w:right="0" w:firstLine="0"/>
      <w:jc w:val="both"/>
      <w:keepLines w:val="0"/>
      <w:keepNext w:val="0"/>
      <w:pageBreakBefore w:val="0"/>
      <w:spacing w:before="0" w:beforeAutospacing="0" w:after="0" w:afterAutospacing="0" w:line="360" w:lineRule="exact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211" w:customStyle="1">
    <w:name w:val="[РусГидро] Пункт"/>
    <w:qFormat/>
    <w:pPr>
      <w:numPr>
        <w:ilvl w:val="2"/>
        <w:numId w:val="0"/>
      </w:numPr>
      <w:contextualSpacing w:val="0"/>
      <w:ind w:left="72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tabs>
        <w:tab w:val="num" w:pos="36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2"/>
      <w:suppressLineNumbers w:val="0"/>
    </w:pPr>
    <w:rPr>
      <w:rFonts w:ascii="Times New Roman" w:hAnsi="Times New Roman" w:cs="Times New Roman" w:eastAsiaTheme="minorHAns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6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212" w:customStyle="1">
    <w:name w:val="Normal (Web)"/>
    <w:uiPriority w:val="99"/>
    <w:unhideWhenUsed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213" w:customStyle="1">
    <w:name w:val="Emphasis"/>
    <w:uiPriority w:val="20"/>
    <w:qFormat/>
    <w:rPr>
      <w:i/>
      <w:i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hyperlink" Target="http://www.roseltorg.ru/knowledge_db/docs/documents" TargetMode="External"/><Relationship Id="rId13" Type="http://schemas.openxmlformats.org/officeDocument/2006/relationships/hyperlink" Target="mailto:dgk@dgk.ru" TargetMode="External"/><Relationship Id="rId14" Type="http://schemas.openxmlformats.org/officeDocument/2006/relationships/hyperlink" Target="http://kuzmischeva-iv@dgk.ru" TargetMode="External"/><Relationship Id="rId15" Type="http://schemas.openxmlformats.org/officeDocument/2006/relationships/hyperlink" Target="mailto:dgk@dgk.ru" TargetMode="External"/><Relationship Id="rId16" Type="http://schemas.openxmlformats.org/officeDocument/2006/relationships/hyperlink" Target="mailto:evstratenko-av@dgk.ru" TargetMode="External"/><Relationship Id="rId17" Type="http://schemas.openxmlformats.org/officeDocument/2006/relationships/hyperlink" Target="http://kuzmischeva-iv@dgk.ru" TargetMode="External"/><Relationship Id="rId18" Type="http://schemas.openxmlformats.org/officeDocument/2006/relationships/image" Target="media/image1.png"/><Relationship Id="rId19" Type="http://schemas.openxmlformats.org/officeDocument/2006/relationships/image" Target="media/media1.svg"/><Relationship Id="rId20" Type="http://schemas.openxmlformats.org/officeDocument/2006/relationships/image" Target="media/image2.png"/><Relationship Id="rId21" Type="http://schemas.openxmlformats.org/officeDocument/2006/relationships/image" Target="media/media2.svg"/><Relationship Id="rId22" Type="http://schemas.openxmlformats.org/officeDocument/2006/relationships/image" Target="media/image3.png"/><Relationship Id="rId23" Type="http://schemas.openxmlformats.org/officeDocument/2006/relationships/image" Target="media/media3.svg"/><Relationship Id="rId24" Type="http://schemas.openxmlformats.org/officeDocument/2006/relationships/hyperlink" Target="https://bo.nalog.ru" TargetMode="External"/><Relationship Id="rId25" Type="http://schemas.openxmlformats.org/officeDocument/2006/relationships/image" Target="media/image4.png"/><Relationship Id="rId26" Type="http://schemas.openxmlformats.org/officeDocument/2006/relationships/image" Target="media/media4.sv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EDA28-9E38-4535-9CFF-6A40A405C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</dc:title>
  <dc:subject>Альбом типовых форм</dc:subject>
  <dc:creator>Владимир Щербаков</dc:creator>
  <cp:keywords>Типовая форма</cp:keywords>
  <dc:description/>
  <cp:lastModifiedBy>evstratenko_av</cp:lastModifiedBy>
  <cp:revision>169</cp:revision>
  <dcterms:created xsi:type="dcterms:W3CDTF">2023-08-16T07:54:00Z</dcterms:created>
  <dcterms:modified xsi:type="dcterms:W3CDTF">2026-03-20T01:01:54Z</dcterms:modified>
</cp:coreProperties>
</file>